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46F6" w14:textId="77777777" w:rsidR="002F63F8" w:rsidRPr="002F391A" w:rsidRDefault="002F63F8" w:rsidP="002F63F8">
      <w:pPr>
        <w:pStyle w:val="berschrift1"/>
        <w:jc w:val="both"/>
        <w:rPr>
          <w:rFonts w:cs="Noto Sans"/>
        </w:rPr>
      </w:pPr>
      <w:r>
        <w:t>Nota de prensa</w:t>
      </w:r>
    </w:p>
    <w:p w14:paraId="6A2B45C9" w14:textId="77777777" w:rsidR="002F63F8" w:rsidRPr="002F391A" w:rsidRDefault="002F63F8" w:rsidP="002F63F8">
      <w:pPr>
        <w:jc w:val="both"/>
        <w:rPr>
          <w:rFonts w:cs="Noto Sans"/>
        </w:rPr>
      </w:pPr>
      <w:r>
        <w:t>Perfect Welding</w:t>
      </w:r>
    </w:p>
    <w:p w14:paraId="4948B7A4" w14:textId="77777777" w:rsidR="00D539EF" w:rsidRPr="002F391A" w:rsidRDefault="00D539EF" w:rsidP="00D539EF">
      <w:pPr>
        <w:rPr>
          <w:rFonts w:cs="Noto Sans"/>
        </w:rPr>
      </w:pPr>
    </w:p>
    <w:p w14:paraId="01152F3F" w14:textId="03411E05" w:rsidR="00AD4FD4" w:rsidRPr="002F391A" w:rsidRDefault="00037F3F" w:rsidP="000B2053">
      <w:pPr>
        <w:pStyle w:val="Titel"/>
        <w:rPr>
          <w:rFonts w:cs="Noto Sans"/>
          <w:spacing w:val="0"/>
          <w:kern w:val="0"/>
          <w:sz w:val="22"/>
          <w:szCs w:val="20"/>
        </w:rPr>
      </w:pPr>
      <w:r>
        <w:rPr>
          <w:sz w:val="22"/>
        </w:rPr>
        <w:t xml:space="preserve">Nuevas incorporaciones a la gama de equipos Tandem Fronius TPS/i TWIN </w:t>
      </w:r>
    </w:p>
    <w:p w14:paraId="76AACCE7" w14:textId="77777777" w:rsidR="00C11E07" w:rsidRDefault="00C11E07" w:rsidP="001E514D">
      <w:pPr>
        <w:pStyle w:val="Titel"/>
        <w:rPr>
          <w:sz w:val="32"/>
        </w:rPr>
      </w:pPr>
    </w:p>
    <w:p w14:paraId="111807BE" w14:textId="42E8C3C2" w:rsidR="001E514D" w:rsidRPr="00FE3EAF" w:rsidRDefault="00624313" w:rsidP="001E514D">
      <w:pPr>
        <w:pStyle w:val="Titel"/>
        <w:rPr>
          <w:rFonts w:cs="Noto Sans"/>
          <w:spacing w:val="0"/>
          <w:kern w:val="0"/>
          <w:sz w:val="32"/>
          <w:szCs w:val="28"/>
        </w:rPr>
      </w:pPr>
      <w:r>
        <w:rPr>
          <w:sz w:val="32"/>
        </w:rPr>
        <w:t>Mayor eficiencia en la soldadura de alto rendimiento</w:t>
      </w:r>
    </w:p>
    <w:p w14:paraId="055EEB06" w14:textId="44C05F3F" w:rsidR="000B2053" w:rsidRPr="00FE3EAF" w:rsidRDefault="000B2053" w:rsidP="000B2053">
      <w:pPr>
        <w:pStyle w:val="StandardWeb"/>
        <w:spacing w:before="0" w:beforeAutospacing="0" w:after="0" w:afterAutospacing="0" w:line="280" w:lineRule="atLeast"/>
        <w:rPr>
          <w:rFonts w:ascii="Noto Sans" w:hAnsi="Noto Sans" w:cs="Noto Sans"/>
          <w:b/>
          <w:bCs/>
          <w:sz w:val="22"/>
          <w:szCs w:val="22"/>
        </w:rPr>
      </w:pPr>
    </w:p>
    <w:p w14:paraId="7071F5F2" w14:textId="74A6A701" w:rsidR="00DD2FB0" w:rsidRPr="00C11E07" w:rsidRDefault="0064041C" w:rsidP="00DD2FB0">
      <w:pPr>
        <w:pStyle w:val="StandardWeb"/>
        <w:spacing w:before="0" w:beforeAutospacing="0" w:after="0" w:afterAutospacing="0" w:line="280" w:lineRule="atLeast"/>
        <w:rPr>
          <w:rFonts w:ascii="Noto Sans" w:hAnsi="Noto Sans" w:cs="Noto Sans"/>
          <w:bCs/>
          <w:sz w:val="22"/>
          <w:szCs w:val="22"/>
        </w:rPr>
      </w:pPr>
      <w:r w:rsidRPr="00C11E07">
        <w:rPr>
          <w:rFonts w:ascii="Noto Sans" w:hAnsi="Noto Sans"/>
          <w:bCs/>
          <w:sz w:val="22"/>
        </w:rPr>
        <w:t xml:space="preserve">Fronius amplía su oferta de sistemas inteligentes de soldadura Tandem TPS/i TWIN. La soldadura sincronizada con dos arcos voltaicos controlables de forma individual nunca ha sido tan fácil como con los nuevos sistemas TPS/i TWIN y los procesos de soldadura PMC TWIN y CMT TWIN. Ambos impresionan con su penetración estable y ahorran tiempo gracias a su gran velocidad e impresionante tasa de deposición. </w:t>
      </w:r>
    </w:p>
    <w:p w14:paraId="6AFAD143" w14:textId="2650FBB3" w:rsidR="00BB1231" w:rsidRPr="00FE3EAF" w:rsidRDefault="00DD2FB0" w:rsidP="00624313">
      <w:pPr>
        <w:spacing w:after="0" w:line="240" w:lineRule="auto"/>
        <w:rPr>
          <w:rFonts w:eastAsia="Times New Roman" w:cs="Noto Sans"/>
          <w:sz w:val="22"/>
        </w:rPr>
      </w:pPr>
      <w:r>
        <w:t> </w:t>
      </w:r>
    </w:p>
    <w:p w14:paraId="21ECE1ED" w14:textId="4E084109" w:rsidR="00605C92" w:rsidRDefault="00624313" w:rsidP="00624313">
      <w:pPr>
        <w:spacing w:after="0" w:line="240" w:lineRule="auto"/>
        <w:rPr>
          <w:rFonts w:eastAsia="Times New Roman" w:cs="Noto Sans"/>
          <w:szCs w:val="20"/>
        </w:rPr>
      </w:pPr>
      <w:r>
        <w:t>El reto que plantea la soldadura Tandem de alto rendimiento reside sobre todo en el dominio de ambos arcos voltaicos. Producir componentes de gran volumen, varias capas o cordones de soldadura largos en la construcción de contenedores, vehículos y vagones con una calidad perfecta es fácil para quienes logran controlarlos. Con el objetivo de hacer frente a estos retos, el sistema TPS/i TWIN Push, ya consolidado en el mercado, se va a reforzar ahora con los sistemas TWIN PushPull, que incluyen el proceso CMT TWIN. Esto significa que, además del acero, ahora también se podrá unir el aluminio con los sistemas de soldadura Tandem.</w:t>
      </w:r>
    </w:p>
    <w:p w14:paraId="3951E218" w14:textId="3CD3F6DC" w:rsidR="00271A29" w:rsidRPr="00FE3EAF" w:rsidRDefault="00271A29" w:rsidP="00946984">
      <w:pPr>
        <w:spacing w:after="0" w:line="240" w:lineRule="auto"/>
        <w:rPr>
          <w:rFonts w:eastAsia="Times New Roman" w:cs="Noto Sans"/>
          <w:sz w:val="22"/>
          <w:lang w:eastAsia="de-AT"/>
        </w:rPr>
      </w:pPr>
    </w:p>
    <w:p w14:paraId="2AB23947" w14:textId="6C8B1FDE" w:rsidR="002008A2" w:rsidRPr="00C11E07" w:rsidRDefault="00C4570F" w:rsidP="000B2053">
      <w:pPr>
        <w:pStyle w:val="StandardWeb"/>
        <w:spacing w:before="0" w:beforeAutospacing="0" w:after="0" w:afterAutospacing="0" w:line="280" w:lineRule="atLeast"/>
        <w:rPr>
          <w:rFonts w:ascii="Noto Sans" w:hAnsi="Noto Sans" w:cs="Noto Sans"/>
          <w:bCs/>
          <w:sz w:val="20"/>
          <w:szCs w:val="20"/>
          <w:u w:val="single"/>
        </w:rPr>
      </w:pPr>
      <w:r w:rsidRPr="00C11E07">
        <w:rPr>
          <w:rFonts w:ascii="Noto Sans" w:hAnsi="Noto Sans"/>
          <w:bCs/>
          <w:sz w:val="20"/>
          <w:szCs w:val="20"/>
          <w:u w:val="single"/>
        </w:rPr>
        <w:t>Dos equipos potentes y versátiles</w:t>
      </w:r>
    </w:p>
    <w:p w14:paraId="79910FBA" w14:textId="7E2DCA40" w:rsidR="000C5196" w:rsidRPr="006A6C1D" w:rsidRDefault="00605C92" w:rsidP="006A6C1D">
      <w:pPr>
        <w:spacing w:after="0" w:line="240" w:lineRule="auto"/>
        <w:rPr>
          <w:rFonts w:eastAsia="Times New Roman" w:cs="Noto Sans"/>
          <w:szCs w:val="20"/>
        </w:rPr>
      </w:pPr>
      <w:r>
        <w:t>La solución TPS/i TWIN PushPull se utiliza en la construcción de vehículos y transporte ferroviarios y suelda perfiles de aluminio o recipientes a presión mediante el proceso PMC (Pulse Multi Control). Además de PMC, el nuevo sistema TPS/i CMT TWIN también cuenta con el proceso CMT (Cold Metal Transfer), que ahora permite soldar aluminio, aleaciones con base de níquel o aceros de alta resistencia. La aportación de calor controlada de CMT también es ideal para aplicaciones de chapa fina. Si los dos arcos voltaicos TWIN tienen potencias diferentes, se puede optimizar aún más la penetración y el perfil del cordón.</w:t>
      </w:r>
    </w:p>
    <w:p w14:paraId="79BC1BC9" w14:textId="77777777" w:rsidR="00C4570F" w:rsidRPr="00FE3EAF" w:rsidRDefault="00C4570F" w:rsidP="00094A55">
      <w:pPr>
        <w:tabs>
          <w:tab w:val="left" w:pos="426"/>
        </w:tabs>
        <w:spacing w:after="0" w:line="240" w:lineRule="auto"/>
        <w:rPr>
          <w:rFonts w:eastAsia="Times New Roman" w:cs="Noto Sans"/>
          <w:lang w:eastAsia="de-AT"/>
        </w:rPr>
      </w:pPr>
    </w:p>
    <w:p w14:paraId="4238742A" w14:textId="66333496" w:rsidR="000C5196" w:rsidRPr="00C11E07" w:rsidRDefault="00013930" w:rsidP="000C5196">
      <w:pPr>
        <w:spacing w:after="0" w:line="240" w:lineRule="auto"/>
        <w:rPr>
          <w:rFonts w:eastAsia="Times New Roman" w:cs="Noto Sans"/>
          <w:bCs/>
          <w:szCs w:val="20"/>
          <w:u w:val="single"/>
        </w:rPr>
      </w:pPr>
      <w:r w:rsidRPr="00C11E07">
        <w:rPr>
          <w:bCs/>
          <w:szCs w:val="20"/>
          <w:u w:val="single"/>
        </w:rPr>
        <w:t>Alta velocidad y tasa de deposición de 25 kg</w:t>
      </w:r>
    </w:p>
    <w:p w14:paraId="1ECB1800" w14:textId="779D066E" w:rsidR="00662741" w:rsidRPr="00FE3EAF" w:rsidRDefault="00013930" w:rsidP="00EC7457">
      <w:pPr>
        <w:spacing w:after="0" w:line="240" w:lineRule="auto"/>
        <w:rPr>
          <w:rFonts w:eastAsia="Times New Roman" w:cs="Noto Sans"/>
        </w:rPr>
      </w:pPr>
      <w:r>
        <w:t xml:space="preserve">En la práctica, las ventajas de la soldadura Tandem en comparación con la de un solo hilo quedan demostradas especialmente cuando se desea obtener un resultado perfecto a la máxima velocidad. Los sistemas Fronius TPS/i TWIN hacen un gran trabajo en este respecto gracias a su tasa de deposición de hasta 25 kilogramos por hora y una velocidad de hasta 4 metros por minuto. Esto es posible con una velocidad de avance de hilo por línea de proceso de unos 30 metros por minuto. A pesar de su rapidez, se logra el resultado deseado con una calidad de penetración fiable y un cordón de soldadura sin mordeduras. De este modo, se puede reducir tanto el número de capas como el tiempo de producción. </w:t>
      </w:r>
    </w:p>
    <w:p w14:paraId="14AFE370" w14:textId="3AB50A77" w:rsidR="00DC54AA" w:rsidRPr="00FE3EAF" w:rsidRDefault="00DC54AA" w:rsidP="00EC7457">
      <w:pPr>
        <w:spacing w:after="0" w:line="240" w:lineRule="auto"/>
        <w:rPr>
          <w:rFonts w:eastAsia="Times New Roman" w:cs="Noto Sans"/>
          <w:lang w:eastAsia="de-AT"/>
        </w:rPr>
      </w:pPr>
    </w:p>
    <w:p w14:paraId="3B4E1ED9" w14:textId="5E0CA3F1" w:rsidR="00DC54AA" w:rsidRPr="00C11E07" w:rsidRDefault="00DC54AA" w:rsidP="00DC54AA">
      <w:pPr>
        <w:pStyle w:val="StandardWeb"/>
        <w:spacing w:before="0" w:beforeAutospacing="0" w:after="0" w:afterAutospacing="0" w:line="280" w:lineRule="atLeast"/>
        <w:rPr>
          <w:rFonts w:ascii="Noto Sans" w:hAnsi="Noto Sans" w:cs="Noto Sans"/>
          <w:bCs/>
          <w:sz w:val="20"/>
          <w:szCs w:val="20"/>
          <w:u w:val="single"/>
        </w:rPr>
      </w:pPr>
      <w:r w:rsidRPr="00C11E07">
        <w:rPr>
          <w:rFonts w:ascii="Noto Sans" w:hAnsi="Noto Sans"/>
          <w:bCs/>
          <w:sz w:val="20"/>
          <w:u w:val="single"/>
        </w:rPr>
        <w:t>Excelente calidad de cordón reproducible en cualquier momento</w:t>
      </w:r>
    </w:p>
    <w:p w14:paraId="462AA5F5" w14:textId="3DB4F63B" w:rsidR="00DD2FB0" w:rsidRPr="003578DB" w:rsidRDefault="003578DB" w:rsidP="003578DB">
      <w:pPr>
        <w:rPr>
          <w:rFonts w:cs="Noto Sans"/>
          <w:szCs w:val="20"/>
        </w:rPr>
      </w:pPr>
      <w:r>
        <w:t xml:space="preserve">El proceso integrado TWIN con regulación automática ofrece resultados óptimos y una alta eficiencia, a pesar de que solo hay que hacer los ajustes esenciales. El sistema regula de forma independiente los parámetros y las variables de influencia en un segundo plano para obtener arcos voltaicos precisos de manera constante. La combinación de PMC y CMT garantiza un alto nivel de fiabilidad del proceso, que es necesario para poder soldar de forma completamente estable. Las innovadoras soluciones para el avance óptimo de hilo, como TWIN Drive o el </w:t>
      </w:r>
      <w:r>
        <w:lastRenderedPageBreak/>
        <w:t>componente de buffer, aseguran una alimentación constante, que lleva la fiabilidad de la soldadura y la estabilidad del proceso al siguiente nivel. Así se minimizan los retrabajos y las producciones erróneas, lo que ahorra tiempo y recursos.</w:t>
      </w:r>
    </w:p>
    <w:p w14:paraId="731044F0" w14:textId="0ABAD839" w:rsidR="00F22FEA" w:rsidRPr="00C11E07" w:rsidRDefault="009672D3" w:rsidP="000B2053">
      <w:pPr>
        <w:pStyle w:val="StandardWeb"/>
        <w:spacing w:before="0" w:beforeAutospacing="0" w:after="0" w:afterAutospacing="0" w:line="280" w:lineRule="atLeast"/>
        <w:rPr>
          <w:rFonts w:ascii="Noto Sans" w:hAnsi="Noto Sans" w:cs="Noto Sans"/>
          <w:bCs/>
          <w:sz w:val="20"/>
          <w:szCs w:val="20"/>
          <w:u w:val="single"/>
        </w:rPr>
      </w:pPr>
      <w:r w:rsidRPr="00C11E07">
        <w:rPr>
          <w:rFonts w:ascii="Noto Sans" w:hAnsi="Noto Sans"/>
          <w:bCs/>
          <w:sz w:val="20"/>
          <w:u w:val="single"/>
        </w:rPr>
        <w:t xml:space="preserve">Precisión y rapidez gracias a los sistemas de asistencia inteligentes </w:t>
      </w:r>
    </w:p>
    <w:p w14:paraId="4D778FCF" w14:textId="6B2FFC2D" w:rsidR="00F22FEA" w:rsidRDefault="00F22FEA" w:rsidP="002D5FB0">
      <w:r>
        <w:t xml:space="preserve">La serie Fronius TWIN dispone de diferentes funciones y sistemas de asistencia robotizada para ayudar al soldador a automatizar el proceso de producción de la forma más eficiente posible. Por ejemplo, el cebado SFI (Spatter Free Ignition) garantiza un cebado sin proyecciones, y el innovador Slaghammer elimina la escoria formada previamente mediante el movimiento reversible del hilo, lo que permite iniciar una soldadura limpia. SeamTracking compensa automáticamente las desviaciones y TouchSense permite al robot determinar su posición, que puede utilizar para compensar las tolerancias de posicionamiento y de componentes. WireSense mide estas tolerancias y las transmite directamente al robot. Todo ello reduce los errores de soldadura, los retrabajos o incluso los desperdicios, lo que contribuye directamente a una mayor eficiencia en la soldadura de alto rendimiento. </w:t>
      </w:r>
    </w:p>
    <w:p w14:paraId="2AEA32F3" w14:textId="6FC094F5" w:rsidR="00C11E07" w:rsidRPr="00C11E07" w:rsidRDefault="00C11E07" w:rsidP="00C11E07">
      <w:pPr>
        <w:pStyle w:val="StandardWeb"/>
        <w:spacing w:before="0" w:beforeAutospacing="0" w:after="0" w:afterAutospacing="0"/>
        <w:rPr>
          <w:rFonts w:ascii="Noto Sans" w:hAnsi="Noto Sans" w:cs="Noto Sans"/>
          <w:sz w:val="20"/>
          <w:szCs w:val="20"/>
        </w:rPr>
      </w:pPr>
      <w:r w:rsidRPr="00171494">
        <w:rPr>
          <w:rFonts w:ascii="Noto Sans" w:hAnsi="Noto Sans" w:cs="Noto Sans"/>
          <w:sz w:val="20"/>
          <w:szCs w:val="20"/>
        </w:rPr>
        <w:t xml:space="preserve">Puede encontrar más información en el </w:t>
      </w:r>
      <w:hyperlink r:id="rId11" w:history="1">
        <w:r w:rsidRPr="00C11E07">
          <w:rPr>
            <w:rStyle w:val="Hyperlink"/>
            <w:rFonts w:ascii="Noto Sans" w:hAnsi="Noto Sans" w:cs="Noto Sans"/>
            <w:sz w:val="20"/>
            <w:szCs w:val="20"/>
          </w:rPr>
          <w:t xml:space="preserve">sitio </w:t>
        </w:r>
        <w:r w:rsidRPr="00C11E07">
          <w:rPr>
            <w:rStyle w:val="Hyperlink"/>
            <w:rFonts w:ascii="Noto Sans" w:hAnsi="Noto Sans" w:cs="Noto Sans"/>
            <w:sz w:val="20"/>
            <w:szCs w:val="20"/>
          </w:rPr>
          <w:t>w</w:t>
        </w:r>
        <w:r w:rsidRPr="00C11E07">
          <w:rPr>
            <w:rStyle w:val="Hyperlink"/>
            <w:rFonts w:ascii="Noto Sans" w:hAnsi="Noto Sans" w:cs="Noto Sans"/>
            <w:sz w:val="20"/>
            <w:szCs w:val="20"/>
          </w:rPr>
          <w:t>eb.</w:t>
        </w:r>
      </w:hyperlink>
      <w:r>
        <w:rPr>
          <w:rFonts w:ascii="Noto Sans" w:hAnsi="Noto Sans" w:cs="Noto Sans"/>
          <w:sz w:val="20"/>
          <w:szCs w:val="20"/>
        </w:rPr>
        <w:br/>
      </w:r>
    </w:p>
    <w:p w14:paraId="3ADF21F1" w14:textId="1888B6AD" w:rsidR="000B2053" w:rsidRPr="00C11E07" w:rsidRDefault="00C11E07" w:rsidP="000B2053">
      <w:pPr>
        <w:rPr>
          <w:rFonts w:cs="Noto Sans"/>
          <w:b/>
          <w:szCs w:val="20"/>
        </w:rPr>
      </w:pPr>
      <w:r>
        <w:rPr>
          <w:i/>
        </w:rPr>
        <w:t>4346</w:t>
      </w:r>
      <w:r w:rsidR="009C5A7C">
        <w:rPr>
          <w:i/>
        </w:rPr>
        <w:t xml:space="preserve"> caracteres incluidos espacios</w:t>
      </w:r>
    </w:p>
    <w:p w14:paraId="7A583FFF" w14:textId="52A79B93" w:rsidR="009D4037" w:rsidRDefault="000B2053" w:rsidP="000B2053">
      <w:r>
        <w:t>Fotos: Fronius International GmbH, reproducción sin ningún coste</w:t>
      </w:r>
    </w:p>
    <w:p w14:paraId="6B94532D" w14:textId="77777777" w:rsidR="00C11E07" w:rsidRDefault="00C11E07" w:rsidP="00C11E07">
      <w:pPr>
        <w:rPr>
          <w:rStyle w:val="Hyperlink"/>
          <w:rFonts w:cs="Noto Sans"/>
          <w:bCs/>
          <w:szCs w:val="20"/>
        </w:rPr>
      </w:pPr>
      <w:r w:rsidRPr="00171494">
        <w:rPr>
          <w:rFonts w:cs="Noto Sans"/>
          <w:bCs/>
          <w:szCs w:val="20"/>
        </w:rPr>
        <w:t>Imágenes de alta resolución están disponibles para descargar del siguiente enlace:</w:t>
      </w:r>
      <w:r w:rsidRPr="00171494">
        <w:rPr>
          <w:rFonts w:cs="Noto Sans"/>
          <w:bCs/>
          <w:szCs w:val="20"/>
        </w:rPr>
        <w:br/>
      </w:r>
      <w:hyperlink r:id="rId12" w:history="1">
        <w:r w:rsidRPr="00171494">
          <w:rPr>
            <w:rStyle w:val="Hyperlink"/>
            <w:rFonts w:cs="Noto Sans"/>
            <w:bCs/>
            <w:szCs w:val="20"/>
          </w:rPr>
          <w:t>https://www.fronius.com/es-es/spain/tecnolog</w:t>
        </w:r>
        <w:r w:rsidRPr="00171494">
          <w:rPr>
            <w:rStyle w:val="Hyperlink"/>
            <w:rFonts w:cs="Noto Sans"/>
            <w:bCs/>
            <w:szCs w:val="20"/>
          </w:rPr>
          <w:t>i</w:t>
        </w:r>
        <w:r w:rsidRPr="00171494">
          <w:rPr>
            <w:rStyle w:val="Hyperlink"/>
            <w:rFonts w:cs="Noto Sans"/>
            <w:bCs/>
            <w:szCs w:val="20"/>
          </w:rPr>
          <w:t>a-de-soldadura/centro-de-informacion/prensa</w:t>
        </w:r>
      </w:hyperlink>
    </w:p>
    <w:p w14:paraId="03082C33" w14:textId="77777777" w:rsidR="00C11E07" w:rsidRPr="002F391A" w:rsidRDefault="00C11E07" w:rsidP="000B2053">
      <w:pPr>
        <w:rPr>
          <w:rFonts w:cs="Noto Sans"/>
          <w:szCs w:val="20"/>
        </w:rPr>
      </w:pPr>
    </w:p>
    <w:p w14:paraId="3AB672BB" w14:textId="31BEE461" w:rsidR="00622D1A" w:rsidRDefault="00D41A05" w:rsidP="00C3409F">
      <w:pPr>
        <w:rPr>
          <w:sz w:val="18"/>
          <w:szCs w:val="20"/>
        </w:rPr>
      </w:pPr>
      <w:r>
        <w:rPr>
          <w:noProof/>
        </w:rPr>
        <w:drawing>
          <wp:anchor distT="0" distB="0" distL="114300" distR="114300" simplePos="0" relativeHeight="251662336" behindDoc="0" locked="0" layoutInCell="1" allowOverlap="1" wp14:anchorId="06BC7AA1" wp14:editId="0F11FAEC">
            <wp:simplePos x="0" y="0"/>
            <wp:positionH relativeFrom="column">
              <wp:posOffset>-17599</wp:posOffset>
            </wp:positionH>
            <wp:positionV relativeFrom="paragraph">
              <wp:posOffset>187778</wp:posOffset>
            </wp:positionV>
            <wp:extent cx="2051050" cy="1367790"/>
            <wp:effectExtent l="0" t="0" r="6350" b="3810"/>
            <wp:wrapThrough wrapText="bothSides">
              <wp:wrapPolygon edited="0">
                <wp:start x="0" y="0"/>
                <wp:lineTo x="0" y="21359"/>
                <wp:lineTo x="21466" y="21359"/>
                <wp:lineTo x="21466"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05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06B35" w14:textId="6352D999" w:rsidR="00622D1A" w:rsidRDefault="00622D1A" w:rsidP="00C3409F">
      <w:pPr>
        <w:rPr>
          <w:sz w:val="18"/>
          <w:szCs w:val="20"/>
        </w:rPr>
      </w:pPr>
    </w:p>
    <w:p w14:paraId="7C23B85C" w14:textId="0DE8D4EE" w:rsidR="00D41A05" w:rsidRDefault="00D41A05" w:rsidP="00D41A05">
      <w:pPr>
        <w:rPr>
          <w:sz w:val="18"/>
          <w:szCs w:val="20"/>
        </w:rPr>
      </w:pPr>
      <w:r>
        <w:rPr>
          <w:sz w:val="18"/>
        </w:rPr>
        <w:t xml:space="preserve">Soldadura Tandem: ¡más fácil que nunca! Los sistemas de asistencia robotizada ayudan al especialista en soldadura a hacer el proceso de producción lo más eficiente posible, es decir, a ahorrar tiempo y minimizar los errores. </w:t>
      </w:r>
    </w:p>
    <w:p w14:paraId="06397A17" w14:textId="77777777" w:rsidR="00D41A05" w:rsidRDefault="00D41A05" w:rsidP="00C3409F">
      <w:pPr>
        <w:rPr>
          <w:sz w:val="18"/>
          <w:szCs w:val="20"/>
        </w:rPr>
      </w:pPr>
    </w:p>
    <w:p w14:paraId="621CA190" w14:textId="23F13596" w:rsidR="00D41A05" w:rsidRDefault="00D41A05" w:rsidP="00C3409F">
      <w:pPr>
        <w:rPr>
          <w:sz w:val="18"/>
          <w:szCs w:val="20"/>
        </w:rPr>
      </w:pPr>
    </w:p>
    <w:p w14:paraId="7C0F10B8" w14:textId="77A173D6" w:rsidR="00C3409F" w:rsidRPr="00391B88" w:rsidRDefault="00C11E07" w:rsidP="00C3409F">
      <w:pPr>
        <w:rPr>
          <w:sz w:val="18"/>
          <w:szCs w:val="20"/>
        </w:rPr>
      </w:pPr>
      <w:r>
        <w:rPr>
          <w:noProof/>
        </w:rPr>
        <w:drawing>
          <wp:anchor distT="0" distB="0" distL="114300" distR="114300" simplePos="0" relativeHeight="251661312" behindDoc="0" locked="0" layoutInCell="1" allowOverlap="1" wp14:anchorId="7EC84575" wp14:editId="57918B88">
            <wp:simplePos x="0" y="0"/>
            <wp:positionH relativeFrom="margin">
              <wp:align>left</wp:align>
            </wp:positionH>
            <wp:positionV relativeFrom="paragraph">
              <wp:posOffset>13335</wp:posOffset>
            </wp:positionV>
            <wp:extent cx="1974850" cy="1879600"/>
            <wp:effectExtent l="0" t="0" r="6350" b="6350"/>
            <wp:wrapThrough wrapText="bothSides">
              <wp:wrapPolygon edited="0">
                <wp:start x="0" y="0"/>
                <wp:lineTo x="0" y="21454"/>
                <wp:lineTo x="21461" y="21454"/>
                <wp:lineTo x="2146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8623"/>
                    <a:stretch/>
                  </pic:blipFill>
                  <pic:spPr bwMode="auto">
                    <a:xfrm>
                      <a:off x="0" y="0"/>
                      <a:ext cx="1974850" cy="187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9D1C0" w14:textId="48C5BF51" w:rsidR="00933DE5" w:rsidRPr="00FA7484" w:rsidRDefault="00933DE5" w:rsidP="005F7A1B">
      <w:pPr>
        <w:rPr>
          <w:rFonts w:cs="Noto Sans"/>
          <w:sz w:val="18"/>
          <w:szCs w:val="18"/>
          <w:lang w:val="de-DE"/>
        </w:rPr>
      </w:pPr>
    </w:p>
    <w:p w14:paraId="27518833" w14:textId="383D5D97" w:rsidR="00D41A05" w:rsidRPr="00391B88" w:rsidRDefault="00D41A05" w:rsidP="00D41A05">
      <w:pPr>
        <w:rPr>
          <w:sz w:val="18"/>
          <w:szCs w:val="20"/>
        </w:rPr>
      </w:pPr>
      <w:r>
        <w:rPr>
          <w:sz w:val="18"/>
        </w:rPr>
        <w:t xml:space="preserve">Fronius TPS/i TWIN permite un control absoluto sobre dos arcos voltaicos perfectos. También se pueden proporcionar diferentes servicios en función del resultado deseado. </w:t>
      </w:r>
    </w:p>
    <w:p w14:paraId="0E0C12CB" w14:textId="57D552B4" w:rsidR="00C306A7" w:rsidRPr="00D41A05" w:rsidRDefault="00C306A7" w:rsidP="005F7A1B">
      <w:pPr>
        <w:rPr>
          <w:rFonts w:cs="Noto Sans"/>
          <w:szCs w:val="20"/>
        </w:rPr>
      </w:pPr>
    </w:p>
    <w:p w14:paraId="662D6961" w14:textId="67A18EB2" w:rsidR="008C6DEB" w:rsidRDefault="008C6DEB" w:rsidP="005F7A1B">
      <w:pPr>
        <w:rPr>
          <w:noProof/>
        </w:rPr>
      </w:pPr>
    </w:p>
    <w:p w14:paraId="2A76E26C" w14:textId="77777777" w:rsidR="00622D1A" w:rsidRDefault="00622D1A" w:rsidP="00AB27FE">
      <w:pPr>
        <w:rPr>
          <w:sz w:val="18"/>
          <w:szCs w:val="20"/>
        </w:rPr>
      </w:pPr>
    </w:p>
    <w:p w14:paraId="79693804" w14:textId="77777777" w:rsidR="00622D1A" w:rsidRDefault="00622D1A" w:rsidP="00AB27FE">
      <w:pPr>
        <w:rPr>
          <w:sz w:val="18"/>
          <w:szCs w:val="20"/>
        </w:rPr>
      </w:pPr>
    </w:p>
    <w:p w14:paraId="7B3116AA" w14:textId="3F73E10A" w:rsidR="00622D1A" w:rsidRDefault="00622D1A" w:rsidP="00AB27FE">
      <w:pPr>
        <w:rPr>
          <w:sz w:val="18"/>
          <w:szCs w:val="20"/>
        </w:rPr>
      </w:pPr>
      <w:r>
        <w:rPr>
          <w:noProof/>
        </w:rPr>
        <w:lastRenderedPageBreak/>
        <w:drawing>
          <wp:anchor distT="0" distB="0" distL="114300" distR="114300" simplePos="0" relativeHeight="251660288" behindDoc="0" locked="0" layoutInCell="1" allowOverlap="1" wp14:anchorId="61CB0F97" wp14:editId="5F5292A7">
            <wp:simplePos x="0" y="0"/>
            <wp:positionH relativeFrom="column">
              <wp:posOffset>31115</wp:posOffset>
            </wp:positionH>
            <wp:positionV relativeFrom="paragraph">
              <wp:posOffset>56807</wp:posOffset>
            </wp:positionV>
            <wp:extent cx="1939925" cy="1631950"/>
            <wp:effectExtent l="0" t="0" r="3175" b="6350"/>
            <wp:wrapThrough wrapText="bothSides">
              <wp:wrapPolygon edited="0">
                <wp:start x="0" y="0"/>
                <wp:lineTo x="0" y="21432"/>
                <wp:lineTo x="21423" y="21432"/>
                <wp:lineTo x="2142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9925" cy="1631950"/>
                    </a:xfrm>
                    <a:prstGeom prst="rect">
                      <a:avLst/>
                    </a:prstGeom>
                  </pic:spPr>
                </pic:pic>
              </a:graphicData>
            </a:graphic>
          </wp:anchor>
        </w:drawing>
      </w:r>
    </w:p>
    <w:p w14:paraId="3EFADD9B" w14:textId="36FDBE22" w:rsidR="00622D1A" w:rsidRDefault="00622D1A" w:rsidP="00AB27FE">
      <w:pPr>
        <w:rPr>
          <w:sz w:val="18"/>
          <w:szCs w:val="20"/>
        </w:rPr>
      </w:pPr>
    </w:p>
    <w:p w14:paraId="6032320B" w14:textId="67EF1851" w:rsidR="009714EA" w:rsidRPr="00391B88" w:rsidRDefault="009714EA" w:rsidP="00AB27FE">
      <w:pPr>
        <w:rPr>
          <w:sz w:val="18"/>
          <w:szCs w:val="20"/>
        </w:rPr>
      </w:pPr>
      <w:r>
        <w:rPr>
          <w:sz w:val="18"/>
        </w:rPr>
        <w:t xml:space="preserve">La serie TPS/i TWIN es ahora aún más versátil. Además del acero, el aluminio, las aleaciones a base de níquel y los aceros de alta resistencia, pueden soldarse ahora a gran velocidad y con considerables tasas de deposición. </w:t>
      </w:r>
    </w:p>
    <w:p w14:paraId="1EE282A4" w14:textId="0414DDD1" w:rsidR="00933DE5" w:rsidRDefault="00933DE5" w:rsidP="005F7A1B">
      <w:pPr>
        <w:rPr>
          <w:rFonts w:cs="Noto Sans"/>
          <w:szCs w:val="20"/>
          <w:lang w:val="de-DE"/>
        </w:rPr>
      </w:pPr>
    </w:p>
    <w:p w14:paraId="6BC23618" w14:textId="6D96698C" w:rsidR="00622D1A" w:rsidRDefault="00622D1A" w:rsidP="005F7A1B">
      <w:pPr>
        <w:rPr>
          <w:rFonts w:cs="Noto Sans"/>
          <w:szCs w:val="20"/>
          <w:lang w:val="de-DE"/>
        </w:rPr>
      </w:pPr>
    </w:p>
    <w:p w14:paraId="3E5C1379" w14:textId="6D63ED49" w:rsidR="00C11E07" w:rsidRDefault="00C11E07" w:rsidP="005F7A1B">
      <w:pPr>
        <w:rPr>
          <w:rFonts w:cs="Noto Sans"/>
          <w:szCs w:val="20"/>
          <w:lang w:val="de-DE"/>
        </w:rPr>
      </w:pPr>
    </w:p>
    <w:p w14:paraId="786823E3" w14:textId="77777777" w:rsidR="00C11E07" w:rsidRDefault="00C11E07" w:rsidP="00C11E07">
      <w:pPr>
        <w:rPr>
          <w:rFonts w:cs="Noto Sans"/>
          <w:bCs/>
          <w:szCs w:val="20"/>
          <w:u w:val="single"/>
        </w:rPr>
      </w:pPr>
      <w:r w:rsidRPr="00171494">
        <w:rPr>
          <w:rFonts w:cs="Noto Sans"/>
          <w:bCs/>
          <w:szCs w:val="20"/>
          <w:u w:val="single"/>
        </w:rPr>
        <w:t>Unidad de Negocio Perfect Welding</w:t>
      </w:r>
    </w:p>
    <w:p w14:paraId="4E35A5B6" w14:textId="77777777" w:rsidR="00C11E07" w:rsidRPr="00171494" w:rsidRDefault="00C11E07" w:rsidP="00C11E07">
      <w:pPr>
        <w:rPr>
          <w:rFonts w:cs="Noto Sans"/>
          <w:bCs/>
          <w:szCs w:val="20"/>
          <w:u w:val="single"/>
        </w:rPr>
      </w:pPr>
      <w:r w:rsidRPr="00171494">
        <w:rPr>
          <w:rFonts w:cs="Noto Sans"/>
          <w:szCs w:val="20"/>
        </w:rPr>
        <w:t xml:space="preserve">Fronius Perfect Welding es el líder en innovación para soldadura por arco voltaico, y es líder en el mercado global para soldadura robótica. Como proveedor de Sistemas. Fronius welding automation convierte las soluciones de soldadura automatizada específicas para el cliente en una realidad para diferentes áreas, desde la construcción de contenedores hasta el revestimiento para el sector offshore. Las fuentes de corriente para aplicaciones manuales, los accesorios de soldadura y un amplio rango de servicios adicionados a nuestra cartera. Con más de 1.000 distribuidores en todo el mundo, Fronius Perfect Welding siempre está cerca de sus clientes. </w:t>
      </w:r>
    </w:p>
    <w:p w14:paraId="7B2326D5" w14:textId="77777777" w:rsidR="00C11E07" w:rsidRPr="00171494" w:rsidRDefault="00C11E07" w:rsidP="00C11E07">
      <w:pPr>
        <w:rPr>
          <w:rFonts w:cs="Noto Sans"/>
          <w:b/>
          <w:szCs w:val="20"/>
        </w:rPr>
      </w:pPr>
    </w:p>
    <w:p w14:paraId="0E95B2EA" w14:textId="77777777" w:rsidR="00C11E07" w:rsidRPr="00171494" w:rsidRDefault="00C11E07" w:rsidP="00C11E07">
      <w:pPr>
        <w:rPr>
          <w:rFonts w:cs="Noto Sans"/>
          <w:bCs/>
          <w:szCs w:val="20"/>
          <w:u w:val="single"/>
        </w:rPr>
      </w:pPr>
      <w:r w:rsidRPr="00171494">
        <w:rPr>
          <w:rFonts w:cs="Noto Sans"/>
          <w:bCs/>
          <w:szCs w:val="20"/>
          <w:u w:val="single"/>
        </w:rPr>
        <w:t>Fronius International GmbH</w:t>
      </w:r>
    </w:p>
    <w:p w14:paraId="1FFD8676" w14:textId="77777777" w:rsidR="00C11E07" w:rsidRPr="00171494" w:rsidRDefault="00C11E07" w:rsidP="00C11E07">
      <w:pPr>
        <w:rPr>
          <w:rFonts w:cs="Noto Sans"/>
          <w:szCs w:val="20"/>
        </w:rPr>
      </w:pPr>
      <w:r w:rsidRPr="00171494">
        <w:rPr>
          <w:rFonts w:cs="Noto Sans"/>
          <w:szCs w:val="20"/>
        </w:rPr>
        <w:t>Fronius International GmbH es una empresa austriaca con sede en Pettenbach e instalaciones en Wels, Thalheim, Steinhaus y Sattledt. La empresa con sus 5.660 empleados a nivel global se dedica a los sectores de tecnología de soldadura, fotovoltaica y tecnología de carga de baterías. El porcentaje de exportación es de aproximadamente el 93 por ciento y se consigue gracias a las 36 sociedades internacionales de Fronius y distribuidores/representantes en más de 60 países. Fronius es líder en innovación en el mercado mundial gracias a sus productos innovadores y servicios, así como a las 1.321 patentes concedidas.</w:t>
      </w:r>
    </w:p>
    <w:p w14:paraId="5C1C3355" w14:textId="77777777" w:rsidR="00C11E07" w:rsidRPr="00171494" w:rsidRDefault="00C11E07" w:rsidP="00C11E07">
      <w:pPr>
        <w:autoSpaceDE w:val="0"/>
        <w:autoSpaceDN w:val="0"/>
        <w:adjustRightInd w:val="0"/>
        <w:rPr>
          <w:rFonts w:cs="Noto Sans"/>
          <w:b/>
          <w:iCs/>
          <w:noProof/>
          <w:szCs w:val="20"/>
        </w:rPr>
      </w:pPr>
    </w:p>
    <w:p w14:paraId="40EA353F" w14:textId="77777777" w:rsidR="00C11E07" w:rsidRPr="00171494" w:rsidRDefault="00C11E07" w:rsidP="00C11E07">
      <w:pPr>
        <w:autoSpaceDE w:val="0"/>
        <w:autoSpaceDN w:val="0"/>
        <w:adjustRightInd w:val="0"/>
        <w:rPr>
          <w:rFonts w:cs="Noto Sans"/>
          <w:b/>
          <w:iCs/>
          <w:noProof/>
          <w:szCs w:val="20"/>
        </w:rPr>
      </w:pPr>
    </w:p>
    <w:p w14:paraId="740984E8" w14:textId="77777777" w:rsidR="00C11E07" w:rsidRPr="00171494" w:rsidRDefault="00C11E07" w:rsidP="00C11E07">
      <w:pPr>
        <w:pStyle w:val="Textkrper2"/>
        <w:spacing w:after="0" w:line="240" w:lineRule="auto"/>
        <w:ind w:right="29"/>
        <w:rPr>
          <w:rFonts w:ascii="Noto Sans" w:hAnsi="Noto Sans" w:cs="Noto Sans"/>
          <w:szCs w:val="20"/>
        </w:rPr>
      </w:pPr>
      <w:r w:rsidRPr="00171494">
        <w:rPr>
          <w:rFonts w:ascii="Noto Sans" w:hAnsi="Noto Sans" w:cs="Noto Sans"/>
          <w:szCs w:val="20"/>
          <w:u w:val="single"/>
        </w:rPr>
        <w:t>Para más información, por favor diríjase al:</w:t>
      </w:r>
      <w:r w:rsidRPr="00171494">
        <w:rPr>
          <w:rFonts w:ascii="Noto Sans" w:hAnsi="Noto Sans" w:cs="Noto Sans"/>
          <w:szCs w:val="20"/>
          <w:u w:val="single"/>
        </w:rPr>
        <w:br/>
      </w:r>
      <w:r w:rsidRPr="00171494">
        <w:rPr>
          <w:rFonts w:ascii="Noto Sans" w:hAnsi="Noto Sans" w:cs="Noto Sans"/>
          <w:szCs w:val="20"/>
        </w:rPr>
        <w:t>Fronius España S.L.U., Laura González</w:t>
      </w:r>
    </w:p>
    <w:p w14:paraId="2C3C9C03" w14:textId="77777777" w:rsidR="00C11E07" w:rsidRPr="00171494" w:rsidRDefault="00C11E07" w:rsidP="00C11E07">
      <w:pPr>
        <w:pStyle w:val="Textkrper2"/>
        <w:spacing w:after="0" w:line="240" w:lineRule="auto"/>
        <w:ind w:right="29"/>
        <w:rPr>
          <w:rFonts w:ascii="Noto Sans" w:hAnsi="Noto Sans" w:cs="Noto Sans"/>
          <w:szCs w:val="20"/>
        </w:rPr>
      </w:pPr>
      <w:r w:rsidRPr="00171494">
        <w:rPr>
          <w:rFonts w:ascii="Noto Sans" w:hAnsi="Noto Sans" w:cs="Noto Sans"/>
          <w:szCs w:val="20"/>
        </w:rPr>
        <w:t>Parque Empresarial La Carpetania, c/ Miguel Faraday 2, 28906, Getafe (Madrid)</w:t>
      </w:r>
    </w:p>
    <w:p w14:paraId="2C39EFF0" w14:textId="77777777" w:rsidR="00C11E07" w:rsidRPr="00171494" w:rsidRDefault="00C11E07" w:rsidP="00C11E07">
      <w:pPr>
        <w:pStyle w:val="Textkrper2"/>
        <w:spacing w:after="0" w:line="240" w:lineRule="auto"/>
        <w:ind w:right="29"/>
        <w:rPr>
          <w:rFonts w:ascii="Noto Sans" w:hAnsi="Noto Sans" w:cs="Noto Sans"/>
          <w:szCs w:val="20"/>
        </w:rPr>
      </w:pPr>
      <w:r w:rsidRPr="00171494">
        <w:rPr>
          <w:rFonts w:ascii="Noto Sans" w:hAnsi="Noto Sans" w:cs="Noto Sans"/>
          <w:szCs w:val="20"/>
        </w:rPr>
        <w:t>Tel.:+34 91 649 60 40; Fax:+34 91 649 60 44</w:t>
      </w:r>
    </w:p>
    <w:p w14:paraId="45B6A3A7" w14:textId="77777777" w:rsidR="00C11E07" w:rsidRPr="00171494" w:rsidRDefault="00C11E07" w:rsidP="00C11E07">
      <w:pPr>
        <w:pStyle w:val="Textkrper2"/>
        <w:spacing w:after="0" w:line="240" w:lineRule="auto"/>
        <w:ind w:right="29"/>
        <w:rPr>
          <w:rFonts w:ascii="Noto Sans" w:hAnsi="Noto Sans" w:cs="Noto Sans"/>
          <w:szCs w:val="20"/>
        </w:rPr>
      </w:pPr>
      <w:r w:rsidRPr="00171494">
        <w:rPr>
          <w:rFonts w:ascii="Noto Sans" w:hAnsi="Noto Sans" w:cs="Noto Sans"/>
          <w:szCs w:val="20"/>
        </w:rPr>
        <w:t xml:space="preserve">Correo electrónico: </w:t>
      </w:r>
      <w:hyperlink r:id="rId16" w:history="1">
        <w:r w:rsidRPr="00171494">
          <w:rPr>
            <w:rStyle w:val="Hyperlink"/>
            <w:rFonts w:ascii="Noto Sans" w:hAnsi="Noto Sans" w:cs="Noto Sans"/>
            <w:szCs w:val="20"/>
          </w:rPr>
          <w:t>gonzalez.laura@fronius.com</w:t>
        </w:r>
      </w:hyperlink>
    </w:p>
    <w:p w14:paraId="0AB112DD" w14:textId="77777777" w:rsidR="00C11E07" w:rsidRPr="00171494" w:rsidRDefault="00C11E07" w:rsidP="00C11E07">
      <w:pPr>
        <w:pStyle w:val="Textkrper2"/>
        <w:spacing w:after="0" w:line="240" w:lineRule="auto"/>
        <w:ind w:right="29"/>
        <w:rPr>
          <w:szCs w:val="20"/>
        </w:rPr>
      </w:pPr>
    </w:p>
    <w:p w14:paraId="462D6FEB" w14:textId="77777777" w:rsidR="00C11E07" w:rsidRPr="00171494" w:rsidRDefault="00C11E07" w:rsidP="00C11E07">
      <w:pPr>
        <w:autoSpaceDE w:val="0"/>
        <w:autoSpaceDN w:val="0"/>
        <w:adjustRightInd w:val="0"/>
        <w:rPr>
          <w:rFonts w:cs="Noto Sans"/>
          <w:color w:val="000000"/>
          <w:szCs w:val="20"/>
        </w:rPr>
      </w:pPr>
    </w:p>
    <w:p w14:paraId="582B56B9" w14:textId="77777777" w:rsidR="00C11E07" w:rsidRPr="00171494" w:rsidRDefault="00C11E07" w:rsidP="00C11E07">
      <w:pPr>
        <w:pStyle w:val="Textkrper2"/>
        <w:spacing w:after="0" w:line="240" w:lineRule="auto"/>
        <w:ind w:right="29"/>
        <w:rPr>
          <w:rFonts w:ascii="Noto Sans" w:hAnsi="Noto Sans" w:cs="Noto Sans"/>
          <w:bCs/>
          <w:szCs w:val="20"/>
          <w:u w:val="single"/>
        </w:rPr>
      </w:pPr>
      <w:r w:rsidRPr="00171494">
        <w:rPr>
          <w:rFonts w:ascii="Noto Sans" w:hAnsi="Noto Sans" w:cs="Noto Sans"/>
          <w:bCs/>
          <w:szCs w:val="20"/>
          <w:u w:val="single"/>
        </w:rPr>
        <w:t>Por favor, envíe un ejemplar de prueba a nuestra agencia:</w:t>
      </w:r>
    </w:p>
    <w:p w14:paraId="11AAD492" w14:textId="77777777" w:rsidR="00C11E07" w:rsidRPr="00171494" w:rsidRDefault="00C11E07" w:rsidP="00C11E07">
      <w:pPr>
        <w:pStyle w:val="Textkrper2"/>
        <w:spacing w:after="0" w:line="240" w:lineRule="auto"/>
        <w:ind w:right="29"/>
        <w:rPr>
          <w:rFonts w:ascii="Noto Sans" w:hAnsi="Noto Sans" w:cs="Noto Sans"/>
          <w:szCs w:val="20"/>
        </w:rPr>
      </w:pPr>
      <w:r w:rsidRPr="00171494">
        <w:rPr>
          <w:rFonts w:ascii="Noto Sans" w:hAnsi="Noto Sans" w:cs="Noto Sans"/>
          <w:szCs w:val="20"/>
        </w:rPr>
        <w:t>a1kommunikation Schweizer GmbH, Señora Kirsten Ludwig,</w:t>
      </w:r>
    </w:p>
    <w:p w14:paraId="61A9A4F3" w14:textId="77777777" w:rsidR="00C11E07" w:rsidRPr="00171494" w:rsidRDefault="00C11E07" w:rsidP="00C11E07">
      <w:pPr>
        <w:pStyle w:val="Textkrper2"/>
        <w:spacing w:after="0" w:line="240" w:lineRule="auto"/>
        <w:ind w:right="29"/>
        <w:rPr>
          <w:rFonts w:ascii="Noto Sans" w:hAnsi="Noto Sans" w:cs="Noto Sans"/>
          <w:szCs w:val="20"/>
        </w:rPr>
      </w:pPr>
      <w:r w:rsidRPr="00171494">
        <w:rPr>
          <w:rFonts w:ascii="Noto Sans" w:hAnsi="Noto Sans" w:cs="Noto Sans"/>
          <w:szCs w:val="20"/>
        </w:rPr>
        <w:t>Oberdorfstraße 31 A, 70794 Filderstadt, Deutschland</w:t>
      </w:r>
    </w:p>
    <w:p w14:paraId="4429FC28" w14:textId="77777777" w:rsidR="00C11E07" w:rsidRPr="00171494" w:rsidRDefault="00C11E07" w:rsidP="00C11E07">
      <w:pPr>
        <w:rPr>
          <w:rFonts w:cs="Noto Sans"/>
          <w:szCs w:val="20"/>
        </w:rPr>
      </w:pPr>
      <w:r w:rsidRPr="00171494">
        <w:rPr>
          <w:rFonts w:cs="Noto Sans"/>
          <w:szCs w:val="20"/>
        </w:rPr>
        <w:t xml:space="preserve">tel.: +49 0 711 9454161-20, </w:t>
      </w:r>
      <w:r w:rsidRPr="00171494">
        <w:rPr>
          <w:rFonts w:cs="Noto Sans"/>
          <w:szCs w:val="20"/>
        </w:rPr>
        <w:br/>
        <w:t xml:space="preserve">correo electrónico: </w:t>
      </w:r>
      <w:hyperlink r:id="rId17" w:history="1">
        <w:r w:rsidRPr="00171494">
          <w:rPr>
            <w:rStyle w:val="Hyperlink"/>
            <w:rFonts w:cs="Noto Sans"/>
            <w:szCs w:val="20"/>
          </w:rPr>
          <w:t>kirsten.ludwig@a1kommunikation.de</w:t>
        </w:r>
      </w:hyperlink>
    </w:p>
    <w:p w14:paraId="19BB6A5E" w14:textId="77777777" w:rsidR="00C11E07" w:rsidRPr="00171494" w:rsidRDefault="00C11E07" w:rsidP="00C11E07">
      <w:pPr>
        <w:autoSpaceDE w:val="0"/>
        <w:autoSpaceDN w:val="0"/>
        <w:adjustRightInd w:val="0"/>
        <w:rPr>
          <w:rFonts w:cs="Noto Sans"/>
          <w:szCs w:val="20"/>
        </w:rPr>
      </w:pPr>
    </w:p>
    <w:p w14:paraId="45EC57D6" w14:textId="77777777" w:rsidR="00C11E07" w:rsidRPr="00171494" w:rsidRDefault="00C11E07" w:rsidP="00C11E07">
      <w:pPr>
        <w:autoSpaceDE w:val="0"/>
        <w:autoSpaceDN w:val="0"/>
        <w:adjustRightInd w:val="0"/>
        <w:rPr>
          <w:rFonts w:cs="Noto Sans"/>
          <w:szCs w:val="20"/>
        </w:rPr>
      </w:pPr>
      <w:r w:rsidRPr="00171494">
        <w:rPr>
          <w:rFonts w:cs="Noto Sans"/>
          <w:szCs w:val="20"/>
        </w:rPr>
        <w:lastRenderedPageBreak/>
        <w:t>¡Para leer otros artículos interesantes, visite nuestro blog en blog.perfectwelding.fronius.com y síganos en Facebook (froniuswelding), Twitter (froniusintweld), LinkedIn (perfect-welding), Instagram (froniuswelding) y YouTube (froniuswelding)!</w:t>
      </w:r>
    </w:p>
    <w:p w14:paraId="2D92EBAD" w14:textId="77777777" w:rsidR="00C11E07" w:rsidRPr="002F391A" w:rsidRDefault="00C11E07" w:rsidP="005F7A1B">
      <w:pPr>
        <w:rPr>
          <w:rFonts w:cs="Noto Sans"/>
          <w:szCs w:val="20"/>
          <w:lang w:val="de-DE"/>
        </w:rPr>
      </w:pPr>
    </w:p>
    <w:sectPr w:rsidR="00C11E07" w:rsidRPr="002F391A" w:rsidSect="00B173D7">
      <w:headerReference w:type="default" r:id="rId18"/>
      <w:footerReference w:type="default" r:id="rId1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68D5" w14:textId="77777777" w:rsidR="00D07BA1" w:rsidRDefault="00D07BA1" w:rsidP="00B54547">
      <w:pPr>
        <w:spacing w:after="0" w:line="240" w:lineRule="auto"/>
      </w:pPr>
      <w:r>
        <w:separator/>
      </w:r>
    </w:p>
  </w:endnote>
  <w:endnote w:type="continuationSeparator" w:id="0">
    <w:p w14:paraId="4C99F5BD" w14:textId="77777777" w:rsidR="00D07BA1" w:rsidRDefault="00D07BA1"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8000029"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416"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751C5A71" wp14:editId="5BC68FA5">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14:paraId="6B818AAD" w14:textId="3F2C3DFB" w:rsidR="00B54547" w:rsidRPr="003D4817" w:rsidRDefault="00B54547" w:rsidP="00B54547">
                          <w:pPr>
                            <w:spacing w:after="0" w:line="293" w:lineRule="auto"/>
                            <w:rPr>
                              <w:rFonts w:cs="Noto Sans"/>
                              <w:sz w:val="12"/>
                              <w:szCs w:val="12"/>
                            </w:rPr>
                          </w:pPr>
                          <w:r>
                            <w:rPr>
                              <w:sz w:val="12"/>
                            </w:rPr>
                            <w:t>Clase de información: pública</w:t>
                          </w:r>
                        </w:p>
                        <w:p w14:paraId="63B1F19A"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C5A71" id="_x0000_t202" coordsize="21600,21600" o:spt="202" path="m,l,21600r21600,l21600,xe">
              <v:stroke joinstyle="miter"/>
              <v:path gradientshapeok="t" o:connecttype="rect"/>
            </v:shapetype>
            <v:shape id="Textfeld 212" o:spid="_x0000_s1026" type="#_x0000_t20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filled="f" stroked="f" strokeweight=".5pt">
              <v:textbox>
                <w:txbxContent>
                  <w:p w14:paraId="6B818AAD" w14:textId="3F2C3DFB" w:rsidR="00B54547" w:rsidRPr="003D4817" w:rsidRDefault="00B54547" w:rsidP="00B54547">
                    <w:pPr>
                      <w:spacing w:after="0" w:line="293" w:lineRule="auto"/>
                      <w:rPr>
                        <w:sz w:val="12"/>
                        <w:szCs w:val="12"/>
                        <w:rFonts w:cs="Noto Sans"/>
                      </w:rPr>
                    </w:pPr>
                    <w:r>
                      <w:rPr>
                        <w:sz w:val="12"/>
                      </w:rPr>
                      <w:t xml:space="preserve">Clase de información: pública</w:t>
                    </w:r>
                  </w:p>
                  <w:p w14:paraId="63B1F19A"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1F1A" w14:textId="77777777" w:rsidR="00D07BA1" w:rsidRDefault="00D07BA1" w:rsidP="00B54547">
      <w:pPr>
        <w:spacing w:after="0" w:line="240" w:lineRule="auto"/>
      </w:pPr>
      <w:r>
        <w:separator/>
      </w:r>
    </w:p>
  </w:footnote>
  <w:footnote w:type="continuationSeparator" w:id="0">
    <w:p w14:paraId="06BFBD60" w14:textId="77777777" w:rsidR="00D07BA1" w:rsidRDefault="00D07BA1"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456F" w14:textId="77777777" w:rsidR="00C921A2" w:rsidRDefault="00C921A2">
    <w:pPr>
      <w:pStyle w:val="Kopfzeile"/>
    </w:pPr>
    <w:r>
      <w:rPr>
        <w:noProof/>
      </w:rPr>
      <w:drawing>
        <wp:anchor distT="0" distB="0" distL="114300" distR="114300" simplePos="0" relativeHeight="251661312" behindDoc="1" locked="0" layoutInCell="1" allowOverlap="1" wp14:anchorId="3A2A8D0F" wp14:editId="0D724DB9">
          <wp:simplePos x="0" y="0"/>
          <wp:positionH relativeFrom="column">
            <wp:posOffset>5049795</wp:posOffset>
          </wp:positionH>
          <wp:positionV relativeFrom="paragraph">
            <wp:posOffset>-99489</wp:posOffset>
          </wp:positionV>
          <wp:extent cx="1260000" cy="369527"/>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356E84"/>
    <w:multiLevelType w:val="hybridMultilevel"/>
    <w:tmpl w:val="B1B8859A"/>
    <w:lvl w:ilvl="0" w:tplc="9552E910">
      <w:numFmt w:val="bullet"/>
      <w:lvlText w:val="-"/>
      <w:lvlJc w:val="left"/>
      <w:pPr>
        <w:ind w:left="720" w:hanging="360"/>
      </w:pPr>
      <w:rPr>
        <w:rFonts w:ascii="Noto Sans" w:eastAsiaTheme="minorHAnsi" w:hAnsi="Noto Sans" w:cs="Noto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DA0F80"/>
    <w:multiLevelType w:val="hybridMultilevel"/>
    <w:tmpl w:val="BF20C336"/>
    <w:lvl w:ilvl="0" w:tplc="7C46FF44">
      <w:start w:val="1"/>
      <w:numFmt w:val="bullet"/>
      <w:lvlText w:val="/"/>
      <w:lvlJc w:val="left"/>
      <w:pPr>
        <w:tabs>
          <w:tab w:val="num" w:pos="720"/>
        </w:tabs>
        <w:ind w:left="720" w:hanging="360"/>
      </w:pPr>
      <w:rPr>
        <w:rFonts w:ascii="Arial Narrow" w:hAnsi="Arial Narrow" w:hint="default"/>
      </w:rPr>
    </w:lvl>
    <w:lvl w:ilvl="1" w:tplc="7902A348" w:tentative="1">
      <w:start w:val="1"/>
      <w:numFmt w:val="bullet"/>
      <w:lvlText w:val="/"/>
      <w:lvlJc w:val="left"/>
      <w:pPr>
        <w:tabs>
          <w:tab w:val="num" w:pos="1440"/>
        </w:tabs>
        <w:ind w:left="1440" w:hanging="360"/>
      </w:pPr>
      <w:rPr>
        <w:rFonts w:ascii="Arial Narrow" w:hAnsi="Arial Narrow" w:hint="default"/>
      </w:rPr>
    </w:lvl>
    <w:lvl w:ilvl="2" w:tplc="89343BA2" w:tentative="1">
      <w:start w:val="1"/>
      <w:numFmt w:val="bullet"/>
      <w:lvlText w:val="/"/>
      <w:lvlJc w:val="left"/>
      <w:pPr>
        <w:tabs>
          <w:tab w:val="num" w:pos="2160"/>
        </w:tabs>
        <w:ind w:left="2160" w:hanging="360"/>
      </w:pPr>
      <w:rPr>
        <w:rFonts w:ascii="Arial Narrow" w:hAnsi="Arial Narrow" w:hint="default"/>
      </w:rPr>
    </w:lvl>
    <w:lvl w:ilvl="3" w:tplc="08D89D34" w:tentative="1">
      <w:start w:val="1"/>
      <w:numFmt w:val="bullet"/>
      <w:lvlText w:val="/"/>
      <w:lvlJc w:val="left"/>
      <w:pPr>
        <w:tabs>
          <w:tab w:val="num" w:pos="2880"/>
        </w:tabs>
        <w:ind w:left="2880" w:hanging="360"/>
      </w:pPr>
      <w:rPr>
        <w:rFonts w:ascii="Arial Narrow" w:hAnsi="Arial Narrow" w:hint="default"/>
      </w:rPr>
    </w:lvl>
    <w:lvl w:ilvl="4" w:tplc="6BA65034" w:tentative="1">
      <w:start w:val="1"/>
      <w:numFmt w:val="bullet"/>
      <w:lvlText w:val="/"/>
      <w:lvlJc w:val="left"/>
      <w:pPr>
        <w:tabs>
          <w:tab w:val="num" w:pos="3600"/>
        </w:tabs>
        <w:ind w:left="3600" w:hanging="360"/>
      </w:pPr>
      <w:rPr>
        <w:rFonts w:ascii="Arial Narrow" w:hAnsi="Arial Narrow" w:hint="default"/>
      </w:rPr>
    </w:lvl>
    <w:lvl w:ilvl="5" w:tplc="37A622B8" w:tentative="1">
      <w:start w:val="1"/>
      <w:numFmt w:val="bullet"/>
      <w:lvlText w:val="/"/>
      <w:lvlJc w:val="left"/>
      <w:pPr>
        <w:tabs>
          <w:tab w:val="num" w:pos="4320"/>
        </w:tabs>
        <w:ind w:left="4320" w:hanging="360"/>
      </w:pPr>
      <w:rPr>
        <w:rFonts w:ascii="Arial Narrow" w:hAnsi="Arial Narrow" w:hint="default"/>
      </w:rPr>
    </w:lvl>
    <w:lvl w:ilvl="6" w:tplc="52C81DAA" w:tentative="1">
      <w:start w:val="1"/>
      <w:numFmt w:val="bullet"/>
      <w:lvlText w:val="/"/>
      <w:lvlJc w:val="left"/>
      <w:pPr>
        <w:tabs>
          <w:tab w:val="num" w:pos="5040"/>
        </w:tabs>
        <w:ind w:left="5040" w:hanging="360"/>
      </w:pPr>
      <w:rPr>
        <w:rFonts w:ascii="Arial Narrow" w:hAnsi="Arial Narrow" w:hint="default"/>
      </w:rPr>
    </w:lvl>
    <w:lvl w:ilvl="7" w:tplc="7D00EA22" w:tentative="1">
      <w:start w:val="1"/>
      <w:numFmt w:val="bullet"/>
      <w:lvlText w:val="/"/>
      <w:lvlJc w:val="left"/>
      <w:pPr>
        <w:tabs>
          <w:tab w:val="num" w:pos="5760"/>
        </w:tabs>
        <w:ind w:left="5760" w:hanging="360"/>
      </w:pPr>
      <w:rPr>
        <w:rFonts w:ascii="Arial Narrow" w:hAnsi="Arial Narrow" w:hint="default"/>
      </w:rPr>
    </w:lvl>
    <w:lvl w:ilvl="8" w:tplc="96F0EA0E" w:tentative="1">
      <w:start w:val="1"/>
      <w:numFmt w:val="bullet"/>
      <w:lvlText w:val="/"/>
      <w:lvlJc w:val="left"/>
      <w:pPr>
        <w:tabs>
          <w:tab w:val="num" w:pos="6480"/>
        </w:tabs>
        <w:ind w:left="6480" w:hanging="360"/>
      </w:pPr>
      <w:rPr>
        <w:rFonts w:ascii="Arial Narrow" w:hAnsi="Arial Narrow" w:hint="default"/>
      </w:rPr>
    </w:lvl>
  </w:abstractNum>
  <w:abstractNum w:abstractNumId="4"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7"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8"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9"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5898149">
    <w:abstractNumId w:val="9"/>
  </w:num>
  <w:num w:numId="2" w16cid:durableId="805244839">
    <w:abstractNumId w:val="0"/>
  </w:num>
  <w:num w:numId="3" w16cid:durableId="10575362">
    <w:abstractNumId w:val="6"/>
  </w:num>
  <w:num w:numId="4" w16cid:durableId="697051730">
    <w:abstractNumId w:val="8"/>
  </w:num>
  <w:num w:numId="5" w16cid:durableId="1096827134">
    <w:abstractNumId w:val="7"/>
  </w:num>
  <w:num w:numId="6" w16cid:durableId="1631937712">
    <w:abstractNumId w:val="1"/>
  </w:num>
  <w:num w:numId="7" w16cid:durableId="643703316">
    <w:abstractNumId w:val="5"/>
  </w:num>
  <w:num w:numId="8" w16cid:durableId="2075274674">
    <w:abstractNumId w:val="4"/>
  </w:num>
  <w:num w:numId="9" w16cid:durableId="952325676">
    <w:abstractNumId w:val="2"/>
  </w:num>
  <w:num w:numId="10" w16cid:durableId="791753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82"/>
    <w:rsid w:val="00004A11"/>
    <w:rsid w:val="00004F53"/>
    <w:rsid w:val="00012C58"/>
    <w:rsid w:val="00013930"/>
    <w:rsid w:val="00030C3B"/>
    <w:rsid w:val="00035D48"/>
    <w:rsid w:val="00037F3F"/>
    <w:rsid w:val="000449E6"/>
    <w:rsid w:val="00046CD0"/>
    <w:rsid w:val="000723CC"/>
    <w:rsid w:val="00094A55"/>
    <w:rsid w:val="000A020C"/>
    <w:rsid w:val="000B2053"/>
    <w:rsid w:val="000B61FE"/>
    <w:rsid w:val="000C5196"/>
    <w:rsid w:val="000E494C"/>
    <w:rsid w:val="000F7B22"/>
    <w:rsid w:val="00102F0B"/>
    <w:rsid w:val="001123C6"/>
    <w:rsid w:val="00122C7A"/>
    <w:rsid w:val="00131D8F"/>
    <w:rsid w:val="001507C0"/>
    <w:rsid w:val="001560D8"/>
    <w:rsid w:val="001668E3"/>
    <w:rsid w:val="001902D7"/>
    <w:rsid w:val="00196F99"/>
    <w:rsid w:val="001A34C4"/>
    <w:rsid w:val="001A3C5C"/>
    <w:rsid w:val="001A59CD"/>
    <w:rsid w:val="001A6832"/>
    <w:rsid w:val="001B001F"/>
    <w:rsid w:val="001B6BDF"/>
    <w:rsid w:val="001B6D28"/>
    <w:rsid w:val="001E2475"/>
    <w:rsid w:val="001E514D"/>
    <w:rsid w:val="002008A2"/>
    <w:rsid w:val="002020F3"/>
    <w:rsid w:val="0024308B"/>
    <w:rsid w:val="002467E7"/>
    <w:rsid w:val="00270A63"/>
    <w:rsid w:val="00271A29"/>
    <w:rsid w:val="0027311C"/>
    <w:rsid w:val="00282219"/>
    <w:rsid w:val="00284C02"/>
    <w:rsid w:val="00292C62"/>
    <w:rsid w:val="002A457E"/>
    <w:rsid w:val="002B69BD"/>
    <w:rsid w:val="002B7A75"/>
    <w:rsid w:val="002B7D5C"/>
    <w:rsid w:val="002C1D05"/>
    <w:rsid w:val="002C759D"/>
    <w:rsid w:val="002D26C7"/>
    <w:rsid w:val="002D5FB0"/>
    <w:rsid w:val="002D7A44"/>
    <w:rsid w:val="002E170F"/>
    <w:rsid w:val="002E4785"/>
    <w:rsid w:val="002E5766"/>
    <w:rsid w:val="002F391A"/>
    <w:rsid w:val="002F63F8"/>
    <w:rsid w:val="0032015D"/>
    <w:rsid w:val="00323463"/>
    <w:rsid w:val="003405C8"/>
    <w:rsid w:val="003578DB"/>
    <w:rsid w:val="00360191"/>
    <w:rsid w:val="00361602"/>
    <w:rsid w:val="00361A17"/>
    <w:rsid w:val="00364543"/>
    <w:rsid w:val="0036738B"/>
    <w:rsid w:val="00371178"/>
    <w:rsid w:val="00377178"/>
    <w:rsid w:val="00380106"/>
    <w:rsid w:val="0039009F"/>
    <w:rsid w:val="00391B88"/>
    <w:rsid w:val="00396D30"/>
    <w:rsid w:val="003A5D19"/>
    <w:rsid w:val="003A6225"/>
    <w:rsid w:val="003C5C16"/>
    <w:rsid w:val="003E2E4B"/>
    <w:rsid w:val="003E6855"/>
    <w:rsid w:val="003E7382"/>
    <w:rsid w:val="00400845"/>
    <w:rsid w:val="00403C78"/>
    <w:rsid w:val="00415E18"/>
    <w:rsid w:val="00416F32"/>
    <w:rsid w:val="00424297"/>
    <w:rsid w:val="0044565D"/>
    <w:rsid w:val="0045766B"/>
    <w:rsid w:val="004775B1"/>
    <w:rsid w:val="00480946"/>
    <w:rsid w:val="00482D70"/>
    <w:rsid w:val="00496468"/>
    <w:rsid w:val="004A7581"/>
    <w:rsid w:val="004B2322"/>
    <w:rsid w:val="004F6B15"/>
    <w:rsid w:val="005113A6"/>
    <w:rsid w:val="00512C4C"/>
    <w:rsid w:val="005168A1"/>
    <w:rsid w:val="00527E82"/>
    <w:rsid w:val="00533CF3"/>
    <w:rsid w:val="00552530"/>
    <w:rsid w:val="00582BF5"/>
    <w:rsid w:val="005833AA"/>
    <w:rsid w:val="005869EB"/>
    <w:rsid w:val="00593D5F"/>
    <w:rsid w:val="005A26BF"/>
    <w:rsid w:val="005B44DE"/>
    <w:rsid w:val="005C171B"/>
    <w:rsid w:val="005C5081"/>
    <w:rsid w:val="005C7E69"/>
    <w:rsid w:val="005E1405"/>
    <w:rsid w:val="005F7A1B"/>
    <w:rsid w:val="00605C92"/>
    <w:rsid w:val="00605C96"/>
    <w:rsid w:val="00607A80"/>
    <w:rsid w:val="006137C2"/>
    <w:rsid w:val="00617C05"/>
    <w:rsid w:val="00621FF3"/>
    <w:rsid w:val="00622D1A"/>
    <w:rsid w:val="00624313"/>
    <w:rsid w:val="006331E4"/>
    <w:rsid w:val="0064041C"/>
    <w:rsid w:val="00647235"/>
    <w:rsid w:val="00650933"/>
    <w:rsid w:val="006556AF"/>
    <w:rsid w:val="00662741"/>
    <w:rsid w:val="00665788"/>
    <w:rsid w:val="00670F02"/>
    <w:rsid w:val="00674EA2"/>
    <w:rsid w:val="006A1212"/>
    <w:rsid w:val="006A6C1D"/>
    <w:rsid w:val="006B0217"/>
    <w:rsid w:val="006B3668"/>
    <w:rsid w:val="006D011B"/>
    <w:rsid w:val="006D036D"/>
    <w:rsid w:val="006D2AEF"/>
    <w:rsid w:val="006D6430"/>
    <w:rsid w:val="006D6A6E"/>
    <w:rsid w:val="006E261E"/>
    <w:rsid w:val="006F6387"/>
    <w:rsid w:val="00703F47"/>
    <w:rsid w:val="007169EE"/>
    <w:rsid w:val="00754320"/>
    <w:rsid w:val="0076543E"/>
    <w:rsid w:val="00787A5C"/>
    <w:rsid w:val="007944FC"/>
    <w:rsid w:val="00796403"/>
    <w:rsid w:val="007A57E3"/>
    <w:rsid w:val="007B1EFB"/>
    <w:rsid w:val="007B5F8A"/>
    <w:rsid w:val="007C3E79"/>
    <w:rsid w:val="007C5DB3"/>
    <w:rsid w:val="007C61B7"/>
    <w:rsid w:val="007C6229"/>
    <w:rsid w:val="007D3F6D"/>
    <w:rsid w:val="007D4367"/>
    <w:rsid w:val="007F00A7"/>
    <w:rsid w:val="00806E4C"/>
    <w:rsid w:val="00816914"/>
    <w:rsid w:val="00820327"/>
    <w:rsid w:val="0083035B"/>
    <w:rsid w:val="00831633"/>
    <w:rsid w:val="008404EE"/>
    <w:rsid w:val="00843307"/>
    <w:rsid w:val="0084379B"/>
    <w:rsid w:val="008474F6"/>
    <w:rsid w:val="008833C9"/>
    <w:rsid w:val="0089047D"/>
    <w:rsid w:val="008A3F5A"/>
    <w:rsid w:val="008B1DFD"/>
    <w:rsid w:val="008B4B8B"/>
    <w:rsid w:val="008C6DEB"/>
    <w:rsid w:val="008E1774"/>
    <w:rsid w:val="008E28C9"/>
    <w:rsid w:val="008F4ED5"/>
    <w:rsid w:val="00906679"/>
    <w:rsid w:val="00907859"/>
    <w:rsid w:val="00933DE5"/>
    <w:rsid w:val="00936CCE"/>
    <w:rsid w:val="00946984"/>
    <w:rsid w:val="00962B6D"/>
    <w:rsid w:val="00963BB4"/>
    <w:rsid w:val="009643FC"/>
    <w:rsid w:val="009672D3"/>
    <w:rsid w:val="009714EA"/>
    <w:rsid w:val="0099041A"/>
    <w:rsid w:val="00992D8D"/>
    <w:rsid w:val="00992EFA"/>
    <w:rsid w:val="009A17AE"/>
    <w:rsid w:val="009A28C2"/>
    <w:rsid w:val="009A4261"/>
    <w:rsid w:val="009B5BFC"/>
    <w:rsid w:val="009C5A7C"/>
    <w:rsid w:val="009C5DA8"/>
    <w:rsid w:val="009D4037"/>
    <w:rsid w:val="009F796E"/>
    <w:rsid w:val="00A12CC1"/>
    <w:rsid w:val="00A2625F"/>
    <w:rsid w:val="00A27A7B"/>
    <w:rsid w:val="00A46606"/>
    <w:rsid w:val="00A577C8"/>
    <w:rsid w:val="00A66F74"/>
    <w:rsid w:val="00A74B94"/>
    <w:rsid w:val="00A80F5F"/>
    <w:rsid w:val="00A91FB2"/>
    <w:rsid w:val="00AB27FE"/>
    <w:rsid w:val="00AD4FD4"/>
    <w:rsid w:val="00AE7975"/>
    <w:rsid w:val="00AF58CA"/>
    <w:rsid w:val="00B173D7"/>
    <w:rsid w:val="00B309A8"/>
    <w:rsid w:val="00B52F2E"/>
    <w:rsid w:val="00B54547"/>
    <w:rsid w:val="00B63512"/>
    <w:rsid w:val="00B71B23"/>
    <w:rsid w:val="00B76E4F"/>
    <w:rsid w:val="00B8001B"/>
    <w:rsid w:val="00B86560"/>
    <w:rsid w:val="00B93BD6"/>
    <w:rsid w:val="00BA4C21"/>
    <w:rsid w:val="00BA5C13"/>
    <w:rsid w:val="00BA73B2"/>
    <w:rsid w:val="00BA77DD"/>
    <w:rsid w:val="00BB1231"/>
    <w:rsid w:val="00BB5A31"/>
    <w:rsid w:val="00BC77A7"/>
    <w:rsid w:val="00BF3C26"/>
    <w:rsid w:val="00C0751B"/>
    <w:rsid w:val="00C11E07"/>
    <w:rsid w:val="00C14C78"/>
    <w:rsid w:val="00C3022D"/>
    <w:rsid w:val="00C306A7"/>
    <w:rsid w:val="00C3409F"/>
    <w:rsid w:val="00C41367"/>
    <w:rsid w:val="00C41E53"/>
    <w:rsid w:val="00C44B9C"/>
    <w:rsid w:val="00C4570F"/>
    <w:rsid w:val="00C56743"/>
    <w:rsid w:val="00C87EE3"/>
    <w:rsid w:val="00C9106E"/>
    <w:rsid w:val="00C921A2"/>
    <w:rsid w:val="00CB1448"/>
    <w:rsid w:val="00CB2986"/>
    <w:rsid w:val="00CC0612"/>
    <w:rsid w:val="00D0522E"/>
    <w:rsid w:val="00D07BA1"/>
    <w:rsid w:val="00D1224A"/>
    <w:rsid w:val="00D20F48"/>
    <w:rsid w:val="00D35A30"/>
    <w:rsid w:val="00D41A05"/>
    <w:rsid w:val="00D539EF"/>
    <w:rsid w:val="00D6339F"/>
    <w:rsid w:val="00D77E57"/>
    <w:rsid w:val="00D83599"/>
    <w:rsid w:val="00D8569B"/>
    <w:rsid w:val="00D8750E"/>
    <w:rsid w:val="00D912C8"/>
    <w:rsid w:val="00DA051F"/>
    <w:rsid w:val="00DB7054"/>
    <w:rsid w:val="00DC17D7"/>
    <w:rsid w:val="00DC54AA"/>
    <w:rsid w:val="00DD1D70"/>
    <w:rsid w:val="00DD2FB0"/>
    <w:rsid w:val="00DD38FF"/>
    <w:rsid w:val="00DE201A"/>
    <w:rsid w:val="00DF5290"/>
    <w:rsid w:val="00E02A0D"/>
    <w:rsid w:val="00E64801"/>
    <w:rsid w:val="00E76A27"/>
    <w:rsid w:val="00E81461"/>
    <w:rsid w:val="00E923B4"/>
    <w:rsid w:val="00E96684"/>
    <w:rsid w:val="00EA26EC"/>
    <w:rsid w:val="00EC0C90"/>
    <w:rsid w:val="00EC7457"/>
    <w:rsid w:val="00EC79D0"/>
    <w:rsid w:val="00EF62BE"/>
    <w:rsid w:val="00F123DC"/>
    <w:rsid w:val="00F126FA"/>
    <w:rsid w:val="00F22FEA"/>
    <w:rsid w:val="00F42449"/>
    <w:rsid w:val="00F5771D"/>
    <w:rsid w:val="00F63942"/>
    <w:rsid w:val="00F67DDF"/>
    <w:rsid w:val="00FA6F00"/>
    <w:rsid w:val="00FA7484"/>
    <w:rsid w:val="00FB5E88"/>
    <w:rsid w:val="00FB7A18"/>
    <w:rsid w:val="00FC5795"/>
    <w:rsid w:val="00FC7BE4"/>
    <w:rsid w:val="00FD0EE7"/>
    <w:rsid w:val="00FD195C"/>
    <w:rsid w:val="00FD50E0"/>
    <w:rsid w:val="00FE3EAF"/>
    <w:rsid w:val="00FE3F42"/>
    <w:rsid w:val="00FE5616"/>
    <w:rsid w:val="00FE63B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ED3B4"/>
  <w15:chartTrackingRefBased/>
  <w15:docId w15:val="{F52932F5-B5B6-4B81-B18A-4A676E98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14EA"/>
    <w:rPr>
      <w:rFonts w:ascii="Noto Sans" w:hAnsi="Noto Sans"/>
      <w:sz w:val="20"/>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paragraph" w:styleId="berschrift5">
    <w:name w:val="heading 5"/>
    <w:basedOn w:val="Standard"/>
    <w:next w:val="Standard"/>
    <w:link w:val="berschrift5Zchn"/>
    <w:uiPriority w:val="9"/>
    <w:semiHidden/>
    <w:unhideWhenUsed/>
    <w:rsid w:val="006404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s-E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s-ES"/>
    </w:rPr>
  </w:style>
  <w:style w:type="character" w:styleId="Hyperlink">
    <w:name w:val="Hyperlink"/>
    <w:uiPriority w:val="99"/>
    <w:rsid w:val="000B2053"/>
    <w:rPr>
      <w:color w:val="0000FF"/>
      <w:u w:val="single"/>
    </w:rPr>
  </w:style>
  <w:style w:type="paragraph" w:styleId="Textkrper2">
    <w:name w:val="Body Text 2"/>
    <w:basedOn w:val="Standard"/>
    <w:link w:val="Textkrper2Zchn"/>
    <w:rsid w:val="000B2053"/>
    <w:pPr>
      <w:spacing w:after="120" w:line="480" w:lineRule="auto"/>
    </w:pPr>
    <w:rPr>
      <w:rFonts w:ascii="Arial" w:eastAsia="PMingLiU" w:hAnsi="Arial" w:cs="Times New Roman"/>
      <w:szCs w:val="24"/>
      <w:lang w:eastAsia="zh-TW"/>
    </w:rPr>
  </w:style>
  <w:style w:type="character" w:customStyle="1" w:styleId="Textkrper2Zchn">
    <w:name w:val="Textkörper 2 Zchn"/>
    <w:basedOn w:val="Absatz-Standardschriftart"/>
    <w:link w:val="Textkrper2"/>
    <w:rsid w:val="000B2053"/>
    <w:rPr>
      <w:rFonts w:ascii="Arial" w:eastAsia="PMingLiU" w:hAnsi="Arial" w:cs="Times New Roman"/>
      <w:sz w:val="20"/>
      <w:szCs w:val="24"/>
      <w:lang w:val="es-ES" w:eastAsia="zh-TW"/>
    </w:rPr>
  </w:style>
  <w:style w:type="paragraph" w:styleId="StandardWeb">
    <w:name w:val="Normal (Web)"/>
    <w:basedOn w:val="Standard"/>
    <w:uiPriority w:val="99"/>
    <w:unhideWhenUsed/>
    <w:rsid w:val="000B205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BC77A7"/>
    <w:rPr>
      <w:color w:val="605E5C"/>
      <w:shd w:val="clear" w:color="auto" w:fill="E1DFDD"/>
    </w:rPr>
  </w:style>
  <w:style w:type="character" w:styleId="BesuchterLink">
    <w:name w:val="FollowedHyperlink"/>
    <w:basedOn w:val="Absatz-Standardschriftart"/>
    <w:uiPriority w:val="99"/>
    <w:semiHidden/>
    <w:unhideWhenUsed/>
    <w:rsid w:val="005F7A1B"/>
    <w:rPr>
      <w:color w:val="954F72" w:themeColor="followedHyperlink"/>
      <w:u w:val="single"/>
    </w:rPr>
  </w:style>
  <w:style w:type="character" w:styleId="Fett">
    <w:name w:val="Strong"/>
    <w:basedOn w:val="Absatz-Standardschriftart"/>
    <w:uiPriority w:val="22"/>
    <w:qFormat/>
    <w:rsid w:val="00380106"/>
    <w:rPr>
      <w:b/>
      <w:bCs/>
    </w:rPr>
  </w:style>
  <w:style w:type="table" w:styleId="Gitternetztabelle2">
    <w:name w:val="Grid Table 2"/>
    <w:basedOn w:val="NormaleTabelle"/>
    <w:uiPriority w:val="47"/>
    <w:rsid w:val="00C14C78"/>
    <w:pPr>
      <w:spacing w:after="0" w:line="240" w:lineRule="auto"/>
    </w:pPr>
    <w:rPr>
      <w:rFonts w:ascii="Times New Roman" w:eastAsia="Times New Roman" w:hAnsi="Times New Roman" w:cs="Times New Roman"/>
      <w:sz w:val="20"/>
      <w:szCs w:val="20"/>
      <w:lang w:eastAsia="de-A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erschrift5Zchn">
    <w:name w:val="Überschrift 5 Zchn"/>
    <w:basedOn w:val="Absatz-Standardschriftart"/>
    <w:link w:val="berschrift5"/>
    <w:uiPriority w:val="9"/>
    <w:semiHidden/>
    <w:rsid w:val="0064041C"/>
    <w:rPr>
      <w:rFonts w:asciiTheme="majorHAnsi" w:eastAsiaTheme="majorEastAsia" w:hAnsiTheme="majorHAnsi" w:cstheme="majorBidi"/>
      <w:color w:val="2E74B5" w:themeColor="accent1" w:themeShade="BF"/>
    </w:rPr>
  </w:style>
  <w:style w:type="character" w:styleId="Kommentarzeichen">
    <w:name w:val="annotation reference"/>
    <w:basedOn w:val="Absatz-Standardschriftart"/>
    <w:uiPriority w:val="99"/>
    <w:semiHidden/>
    <w:unhideWhenUsed/>
    <w:rsid w:val="00122C7A"/>
    <w:rPr>
      <w:sz w:val="16"/>
      <w:szCs w:val="16"/>
    </w:rPr>
  </w:style>
  <w:style w:type="paragraph" w:styleId="Kommentartext">
    <w:name w:val="annotation text"/>
    <w:basedOn w:val="Standard"/>
    <w:link w:val="KommentartextZchn"/>
    <w:uiPriority w:val="99"/>
    <w:unhideWhenUsed/>
    <w:rsid w:val="00122C7A"/>
    <w:pPr>
      <w:spacing w:line="240" w:lineRule="auto"/>
    </w:pPr>
    <w:rPr>
      <w:szCs w:val="20"/>
    </w:rPr>
  </w:style>
  <w:style w:type="character" w:customStyle="1" w:styleId="KommentartextZchn">
    <w:name w:val="Kommentartext Zchn"/>
    <w:basedOn w:val="Absatz-Standardschriftart"/>
    <w:link w:val="Kommentartext"/>
    <w:uiPriority w:val="99"/>
    <w:rsid w:val="00122C7A"/>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122C7A"/>
    <w:rPr>
      <w:b/>
      <w:bCs/>
    </w:rPr>
  </w:style>
  <w:style w:type="character" w:customStyle="1" w:styleId="KommentarthemaZchn">
    <w:name w:val="Kommentarthema Zchn"/>
    <w:basedOn w:val="KommentartextZchn"/>
    <w:link w:val="Kommentarthema"/>
    <w:uiPriority w:val="99"/>
    <w:semiHidden/>
    <w:rsid w:val="00122C7A"/>
    <w:rPr>
      <w:rFonts w:ascii="Noto Sans" w:hAnsi="Noto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853">
      <w:bodyDiv w:val="1"/>
      <w:marLeft w:val="0"/>
      <w:marRight w:val="0"/>
      <w:marTop w:val="0"/>
      <w:marBottom w:val="0"/>
      <w:divBdr>
        <w:top w:val="none" w:sz="0" w:space="0" w:color="auto"/>
        <w:left w:val="none" w:sz="0" w:space="0" w:color="auto"/>
        <w:bottom w:val="none" w:sz="0" w:space="0" w:color="auto"/>
        <w:right w:val="none" w:sz="0" w:space="0" w:color="auto"/>
      </w:divBdr>
    </w:div>
    <w:div w:id="30571619">
      <w:bodyDiv w:val="1"/>
      <w:marLeft w:val="0"/>
      <w:marRight w:val="0"/>
      <w:marTop w:val="0"/>
      <w:marBottom w:val="0"/>
      <w:divBdr>
        <w:top w:val="none" w:sz="0" w:space="0" w:color="auto"/>
        <w:left w:val="none" w:sz="0" w:space="0" w:color="auto"/>
        <w:bottom w:val="none" w:sz="0" w:space="0" w:color="auto"/>
        <w:right w:val="none" w:sz="0" w:space="0" w:color="auto"/>
      </w:divBdr>
    </w:div>
    <w:div w:id="661810633">
      <w:bodyDiv w:val="1"/>
      <w:marLeft w:val="0"/>
      <w:marRight w:val="0"/>
      <w:marTop w:val="0"/>
      <w:marBottom w:val="0"/>
      <w:divBdr>
        <w:top w:val="none" w:sz="0" w:space="0" w:color="auto"/>
        <w:left w:val="none" w:sz="0" w:space="0" w:color="auto"/>
        <w:bottom w:val="none" w:sz="0" w:space="0" w:color="auto"/>
        <w:right w:val="none" w:sz="0" w:space="0" w:color="auto"/>
      </w:divBdr>
    </w:div>
    <w:div w:id="1788622607">
      <w:bodyDiv w:val="1"/>
      <w:marLeft w:val="0"/>
      <w:marRight w:val="0"/>
      <w:marTop w:val="0"/>
      <w:marBottom w:val="0"/>
      <w:divBdr>
        <w:top w:val="none" w:sz="0" w:space="0" w:color="auto"/>
        <w:left w:val="none" w:sz="0" w:space="0" w:color="auto"/>
        <w:bottom w:val="none" w:sz="0" w:space="0" w:color="auto"/>
        <w:right w:val="none" w:sz="0" w:space="0" w:color="auto"/>
      </w:divBdr>
    </w:div>
    <w:div w:id="21029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ronius.com/es-es/spain/tecnologia-de-soldadura/centro-de-informacion/prensa" TargetMode="External"/><Relationship Id="rId17" Type="http://schemas.openxmlformats.org/officeDocument/2006/relationships/hyperlink" Target="mailto:kirsten.ludwig@a1kommunikation.de" TargetMode="External"/><Relationship Id="rId2" Type="http://schemas.openxmlformats.org/officeDocument/2006/relationships/customXml" Target="../customXml/item2.xml"/><Relationship Id="rId16" Type="http://schemas.openxmlformats.org/officeDocument/2006/relationships/hyperlink" Target="mailto:gonzalez.laura@froni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onius.com/es-es/spain/tecnologia-de-soldadura/productos/soldadura-robotizada/un-solo-cable-migmag/sistemas-pushpull/sistemas-pushpull"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_TI_PT xmlns="dc0c2c3d-e9fc-4a0d-820b-87ab82e65f20">TPS/i CMT Twin Push Pull</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TPS/i CMT Twin Push Pull</title_TI_DA>
    <Web_x0020_Display_x0020_Title_x0020_ET xmlns="dc0c2c3d-e9fc-4a0d-820b-87ab82e65f20">TPS/i CMT Twin Push Pull</Web_x0020_Display_x0020_Title_x0020_ET>
    <title_ti_fi xmlns="dc0c2c3d-e9fc-4a0d-820b-87ab82e65f20">TPS/i CMT Twin Push Pull</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TR xmlns="dc0c2c3d-e9fc-4a0d-820b-87ab82e65f20">TPS/i CMT Twin Push Pull</title_TI_TR>
    <countryok xmlns="dc0c2c3d-e9fc-4a0d-820b-87ab82e65f20">true</countryok>
    <Documenttype_ES xmlns="dc0c2c3d-e9fc-4a0d-820b-87ab82e65f20">Información de prensa</Documenttype_ES>
    <title_ti_nb xmlns="dc0c2c3d-e9fc-4a0d-820b-87ab82e65f20" xsi:nil="true"/>
    <title_TI_ES xmlns="dc0c2c3d-e9fc-4a0d-820b-87ab82e65f20">TPS/i CMT Twin Push Pull</title_TI_ES>
    <Documenttype_TR xmlns="dc0c2c3d-e9fc-4a0d-820b-87ab82e65f20">Basın bülteni</Documenttype_TR>
    <VersionInternal xmlns="dc0c2c3d-e9fc-4a0d-820b-87ab82e65f20" xsi:nil="true"/>
    <TaxCatchAll xmlns="92f60987-cbcc-4245-baaf-239af3bfd6e8">
      <Value>259</Value>
      <Value>1</Value>
    </TaxCatchAll>
    <Resolution xmlns="dc0c2c3d-e9fc-4a0d-820b-87ab82e65f20" xsi:nil="true"/>
    <Country xmlns="dc0c2c3d-e9fc-4a0d-820b-87ab82e65f20">
      <Value>38</Value>
    </Country>
    <title_TI_DE xmlns="dc0c2c3d-e9fc-4a0d-820b-87ab82e65f20">TPS/i CMT Twin Push Pull</title_TI_DE>
    <title_TI_HU xmlns="dc0c2c3d-e9fc-4a0d-820b-87ab82e65f20">TPS/i CMT Twin Push Pull</title_TI_HU>
    <AGB xmlns="dc0c2c3d-e9fc-4a0d-820b-87ab82e65f20">false</AGB>
    <MRMKeyWords xmlns="dc0c2c3d-e9fc-4a0d-820b-87ab82e65f20">#tps/i#tps/i#cmt#cmt#presseinformation#pressrelease#tps/itwinpush#pushpull</MRMKeyWords>
    <Documenttype_TH xmlns="dc0c2c3d-e9fc-4a0d-820b-87ab82e65f20">ข่าวประชาสัมพันธ์</Documenttype_TH>
    <Documenttype_NL xmlns="dc0c2c3d-e9fc-4a0d-820b-87ab82e65f20">Persbericht</Documenttype_NL>
    <fro_spid xmlns="dc0c2c3d-e9fc-4a0d-820b-87ab82e65f20">17386;PW</fro_spid>
    <Colour_x0020_space xmlns="dc0c2c3d-e9fc-4a0d-820b-87ab82e65f20" xsi:nil="true"/>
    <title_TI_EA xmlns="dc0c2c3d-e9fc-4a0d-820b-87ab82e65f20">TPS/i CMT Twin Push Pull</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TPS/i CMT Twin Push Pull</title_TI_SK>
    <Update xmlns="dc0c2c3d-e9fc-4a0d-820b-87ab82e65f20" xsi:nil="true"/>
    <Documenttype_AR xmlns="dc0c2c3d-e9fc-4a0d-820b-87ab82e65f20">Press Release</Documenttype_AR>
    <title_TI_IT xmlns="dc0c2c3d-e9fc-4a0d-820b-87ab82e65f20">TPS/i CMT Twin Push Pull</title_TI_IT>
    <title_ti_zh xmlns="dc0c2c3d-e9fc-4a0d-820b-87ab82e65f20">TPS/i CMT Twin Push Pull</title_ti_zh>
    <Division xmlns="dc0c2c3d-e9fc-4a0d-820b-87ab82e65f20">Perfect Welding</Division>
    <title_TI_UA xmlns="dc0c2c3d-e9fc-4a0d-820b-87ab82e65f20">TPS/i CMT Twin Push Pull</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title_TI_FR xmlns="dc0c2c3d-e9fc-4a0d-820b-87ab82e65f20">TPS/i CMT Twin Push Pull</title_TI_FR>
    <MRMID xmlns="dc0c2c3d-e9fc-4a0d-820b-87ab82e65f20">M-183362</MRMID>
    <Documenttype_UK xmlns="dc0c2c3d-e9fc-4a0d-820b-87ab82e65f20">Прес-релізи</Documenttype_UK>
    <title_TI_CS xmlns="dc0c2c3d-e9fc-4a0d-820b-87ab82e65f20">TPS/i CMT Twin Push Pull</title_TI_CS>
    <Documenttype_FR xmlns="dc0c2c3d-e9fc-4a0d-820b-87ab82e65f20">Communiqué de presse</Documenttype_FR>
    <Documenttype_EN xmlns="dc0c2c3d-e9fc-4a0d-820b-87ab82e65f20">Press Release</Documenttype_EN>
    <FileMaster xmlns="dc0c2c3d-e9fc-4a0d-820b-87ab82e65f20">M-183283</FileMaster>
    <icfaae38c4274413b390559439863f3e xmlns="dc0c2c3d-e9fc-4a0d-820b-87ab82e65f20">
      <Terms xmlns="http://schemas.microsoft.com/office/infopath/2007/PartnerControls"/>
    </icfaae38c4274413b390559439863f3e>
    <title_TI_NL xmlns="dc0c2c3d-e9fc-4a0d-820b-87ab82e65f20">TPS/i CMT Twin Push Pull</title_TI_NL>
    <title_TI_PL xmlns="dc0c2c3d-e9fc-4a0d-820b-87ab82e65f20">TPS/i CMT Twin Push Pull</title_TI_PL>
    <title_TI_TH xmlns="dc0c2c3d-e9fc-4a0d-820b-87ab82e65f20">TPS/i CMT Twin Push Pull</title_TI_TH>
    <Documenttype_DA xmlns="dc0c2c3d-e9fc-4a0d-820b-87ab82e65f20">Presseinformationer</Documenttype_DA>
    <Documenttype_HU xmlns="dc0c2c3d-e9fc-4a0d-820b-87ab82e65f20">Sajtóinformáció</Documenttype_HU>
    <title_TI_JP xmlns="dc0c2c3d-e9fc-4a0d-820b-87ab82e65f20">TPS/i CMT Twin Push Pull</title_TI_JP>
    <title_TI_RU xmlns="dc0c2c3d-e9fc-4a0d-820b-87ab82e65f20">TPS/i CMT Twin Push Pull</title_TI_RU>
    <Documenttype_PL xmlns="dc0c2c3d-e9fc-4a0d-820b-87ab82e65f20">Informacja prasowe</Documenttype_PL>
    <Licence_x0020_information xmlns="dc0c2c3d-e9fc-4a0d-820b-87ab82e65f20">(c) Fronius International</Licence_x0020_information>
    <title_TI_NO xmlns="dc0c2c3d-e9fc-4a0d-820b-87ab82e65f20">TPS/i CMT Twin Push Pull</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TPS/i CMT Twin Push Pull</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TPS/i CMT Twin Push Pull</title_TI_JA>
    <Documenttype_IT xmlns="dc0c2c3d-e9fc-4a0d-820b-87ab82e65f20">Comunicato stampa</Documenttype_IT>
    <Country_x0020_Quick_x0020_Select xmlns="dc0c2c3d-e9fc-4a0d-820b-87ab82e65f20">Select...</Country_x0020_Quick_x0020_Select>
    <title_TI_EN xmlns="dc0c2c3d-e9fc-4a0d-820b-87ab82e65f20">TPS/i CMT Twin Push Pull</title_TI_EN>
    <title_TI_AR xmlns="dc0c2c3d-e9fc-4a0d-820b-87ab82e65f20">TPS/i CMT Twin Push Pull</title_TI_AR>
    <title_TI_SV xmlns="dc0c2c3d-e9fc-4a0d-820b-87ab82e65f20">TPS/i CMT Twin Push Pull</title_TI_SV>
    <Documenttype_CS xmlns="dc0c2c3d-e9fc-4a0d-820b-87ab82e65f20">Tisková zpráva</Documenttype_CS>
    <FroCountryExclusive xmlns="dc0c2c3d-e9fc-4a0d-820b-87ab82e65f20">No</FroCountryExclusive>
    <TitelInternal xmlns="dc0c2c3d-e9fc-4a0d-820b-87ab82e65f20" xsi:nil="true"/>
    <title_ti_uk xmlns="dc0c2c3d-e9fc-4a0d-820b-87ab82e65f20" xsi:nil="true"/>
    <Description0 xmlns="53041210-5658-4a0d-8a74-f9413e00f15b" xsi:nil="true"/>
    <contentservId xmlns="53041210-5658-4a0d-8a74-f9413e00f15b" xsi:nil="true"/>
    <title_TI_RO xmlns="dc0c2c3d-e9fc-4a0d-820b-87ab82e65f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e123716-e57e-43df-bff4-d192656f6566" ContentTypeId="0x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716422A-1BAE-4316-9618-1E7AAA3ECF53}">
  <ds:schemaRefs>
    <ds:schemaRef ds:uri="http://schemas.microsoft.com/sharepoint/v3/contenttype/forms"/>
  </ds:schemaRefs>
</ds:datastoreItem>
</file>

<file path=customXml/itemProps2.xml><?xml version="1.0" encoding="utf-8"?>
<ds:datastoreItem xmlns:ds="http://schemas.openxmlformats.org/officeDocument/2006/customXml" ds:itemID="{1A10005D-7EA4-43B4-B527-4E2E4D2B31E0}">
  <ds:schemaRefs>
    <ds:schemaRef ds:uri="http://schemas.microsoft.com/office/2006/metadata/properties"/>
    <ds:schemaRef ds:uri="http://schemas.microsoft.com/office/infopath/2007/PartnerControls"/>
    <ds:schemaRef ds:uri="4da900e3-f6f5-43fe-a404-02a1b282bb45"/>
    <ds:schemaRef ds:uri="http://schemas.microsoft.com/sharepoint/v4"/>
  </ds:schemaRefs>
</ds:datastoreItem>
</file>

<file path=customXml/itemProps3.xml><?xml version="1.0" encoding="utf-8"?>
<ds:datastoreItem xmlns:ds="http://schemas.openxmlformats.org/officeDocument/2006/customXml" ds:itemID="{30029583-AAB9-4C25-AA41-EB02DEF0C5A1}"/>
</file>

<file path=customXml/itemProps4.xml><?xml version="1.0" encoding="utf-8"?>
<ds:datastoreItem xmlns:ds="http://schemas.openxmlformats.org/officeDocument/2006/customXml" ds:itemID="{F5C33F36-0B8C-4B0A-9663-E532766BE28B}">
  <ds:schemaRefs>
    <ds:schemaRef ds:uri="Microsoft.SharePoint.Taxonomy.ContentTypeSync"/>
  </ds:schemaRefs>
</ds:datastoreItem>
</file>

<file path=customXml/itemProps5.xml><?xml version="1.0" encoding="utf-8"?>
<ds:datastoreItem xmlns:ds="http://schemas.openxmlformats.org/officeDocument/2006/customXml" ds:itemID="{A1FF512D-9AD8-45FD-A556-09B1A01F6CD7}"/>
</file>

<file path=docProps/app.xml><?xml version="1.0" encoding="utf-8"?>
<Properties xmlns="http://schemas.openxmlformats.org/officeDocument/2006/extended-properties" xmlns:vt="http://schemas.openxmlformats.org/officeDocument/2006/docPropsVTypes">
  <Template>DE_Standardvorlage.dotx</Template>
  <TotalTime>0</TotalTime>
  <Pages>4</Pages>
  <Words>1071</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PW_PR_TPSi_CMT_Twin_PushPull_ES</dc:title>
  <dc:subject/>
  <dc:creator>Pointner Karin</dc:creator>
  <cp:keywords/>
  <dc:description/>
  <cp:lastModifiedBy>Pointner Karin</cp:lastModifiedBy>
  <cp:revision>2</cp:revision>
  <cp:lastPrinted>2022-04-14T09:16:00Z</cp:lastPrinted>
  <dcterms:created xsi:type="dcterms:W3CDTF">2022-05-03T09:18:00Z</dcterms:created>
  <dcterms:modified xsi:type="dcterms:W3CDTF">2022-05-03T09:18:00Z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lb169c5bde7e4bcfadda4df6a11dcfbc">
    <vt:lpwstr>DE|676160ea-61f7-4cef-8b4c-1724dec2206e</vt:lpwstr>
  </property>
  <property fmtid="{D5CDD505-2E9C-101B-9397-08002B2CF9AE}" pid="4" name="Permission">
    <vt:lpwstr>Public</vt:lpwstr>
  </property>
  <property fmtid="{D5CDD505-2E9C-101B-9397-08002B2CF9AE}" pid="5" name="FroConDoc_language">
    <vt:lpwstr>1;#DE|676160ea-61f7-4cef-8b4c-1724dec2206e</vt:lpwstr>
  </property>
  <property fmtid="{D5CDD505-2E9C-101B-9397-08002B2CF9AE}" pid="6" name="Service Levels TIM-RS">
    <vt:lpwstr/>
  </property>
  <property fmtid="{D5CDD505-2E9C-101B-9397-08002B2CF9AE}" pid="7" name="Products">
    <vt:lpwstr/>
  </property>
  <property fmtid="{D5CDD505-2E9C-101B-9397-08002B2CF9AE}" pid="8" name="Language">
    <vt:lpwstr>259;#ES|dd4c9c45-94c3-4cf4-ab9c-523f2b58f76e</vt:lpwstr>
  </property>
  <property fmtid="{D5CDD505-2E9C-101B-9397-08002B2CF9AE}" pid="9" name="o83eafb9fd8f4e0d935a1b8f7d26b594">
    <vt:lpwstr/>
  </property>
  <property fmtid="{D5CDD505-2E9C-101B-9397-08002B2CF9AE}" pid="10" name="fro_PartnerRoles">
    <vt:lpwstr/>
  </property>
</Properties>
</file>