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8776F2" w:rsidRDefault="00ED5549" w:rsidP="00604BFB">
      <w:pPr>
        <w:jc w:val="both"/>
        <w:rPr>
          <w:sz w:val="20"/>
          <w:szCs w:val="20"/>
          <w:lang w:val="en-US"/>
        </w:rPr>
      </w:pPr>
    </w:p>
    <w:p w14:paraId="687BC23B" w14:textId="77777777" w:rsidR="00ED5549" w:rsidRPr="008776F2" w:rsidRDefault="00ED5549" w:rsidP="00604BFB">
      <w:pPr>
        <w:jc w:val="both"/>
        <w:rPr>
          <w:sz w:val="20"/>
          <w:szCs w:val="20"/>
          <w:lang w:val="en-US"/>
        </w:rPr>
      </w:pPr>
    </w:p>
    <w:p w14:paraId="64EAFB9B" w14:textId="273A2B2D" w:rsidR="002D7A44" w:rsidRPr="008776F2" w:rsidRDefault="00ED5549" w:rsidP="00604BFB">
      <w:pPr>
        <w:pStyle w:val="berschrift1"/>
        <w:jc w:val="both"/>
      </w:pPr>
      <w:r w:rsidRPr="008776F2">
        <w:t>Informacja prasowa</w:t>
      </w:r>
    </w:p>
    <w:p w14:paraId="07CB8F03" w14:textId="06F6FC04" w:rsidR="00ED5549" w:rsidRPr="008776F2" w:rsidRDefault="0051114E" w:rsidP="00604BFB">
      <w:pPr>
        <w:jc w:val="both"/>
      </w:pPr>
      <w:r w:rsidRPr="008776F2">
        <w:rPr>
          <w:sz w:val="20"/>
        </w:rPr>
        <w:t>Solar Energy</w:t>
      </w:r>
    </w:p>
    <w:p w14:paraId="3EF5C6DD" w14:textId="6608F6CF" w:rsidR="00ED5549" w:rsidRPr="008776F2" w:rsidRDefault="00ED5549" w:rsidP="00604BFB">
      <w:pPr>
        <w:jc w:val="both"/>
        <w:rPr>
          <w:sz w:val="20"/>
          <w:szCs w:val="20"/>
        </w:rPr>
      </w:pPr>
    </w:p>
    <w:p w14:paraId="00F13E77" w14:textId="77777777" w:rsidR="00E83DD7" w:rsidRPr="008776F2" w:rsidRDefault="00E83DD7" w:rsidP="00604BFB">
      <w:pPr>
        <w:jc w:val="both"/>
        <w:rPr>
          <w:sz w:val="20"/>
          <w:szCs w:val="20"/>
        </w:rPr>
      </w:pPr>
    </w:p>
    <w:p w14:paraId="4F8F137E" w14:textId="7A552F0F" w:rsidR="006D6430" w:rsidRPr="008776F2" w:rsidRDefault="005D4BAD" w:rsidP="00604BFB">
      <w:pPr>
        <w:pStyle w:val="HeadlineGreen"/>
        <w:jc w:val="both"/>
        <w:rPr>
          <w:color w:val="auto"/>
          <w:sz w:val="22"/>
          <w:szCs w:val="20"/>
        </w:rPr>
      </w:pPr>
      <w:r w:rsidRPr="008776F2">
        <w:rPr>
          <w:color w:val="auto"/>
          <w:sz w:val="22"/>
        </w:rPr>
        <w:t>Ranking „Przegląd akumulatorów 2023”</w:t>
      </w:r>
    </w:p>
    <w:p w14:paraId="726FD8A5" w14:textId="11AD25F9" w:rsidR="002D7A44" w:rsidRPr="008776F2" w:rsidRDefault="00D41F94" w:rsidP="00604BFB">
      <w:pPr>
        <w:pStyle w:val="berschrift2"/>
        <w:jc w:val="both"/>
        <w:rPr>
          <w:color w:val="auto"/>
          <w:sz w:val="32"/>
          <w:szCs w:val="28"/>
        </w:rPr>
      </w:pPr>
      <w:r w:rsidRPr="008776F2">
        <w:rPr>
          <w:color w:val="auto"/>
          <w:sz w:val="32"/>
        </w:rPr>
        <w:t>Fronius znów na szczycie rankingu</w:t>
      </w:r>
    </w:p>
    <w:p w14:paraId="2CC4F935" w14:textId="77777777" w:rsidR="00ED5549" w:rsidRPr="008776F2" w:rsidRDefault="00ED5549" w:rsidP="00604BFB">
      <w:pPr>
        <w:jc w:val="both"/>
        <w:rPr>
          <w:sz w:val="20"/>
          <w:szCs w:val="20"/>
        </w:rPr>
      </w:pPr>
    </w:p>
    <w:p w14:paraId="47D72435" w14:textId="01BB4DEF" w:rsidR="001668E3" w:rsidRPr="008776F2" w:rsidRDefault="00ED5549" w:rsidP="00DB4CF3">
      <w:pPr>
        <w:jc w:val="both"/>
        <w:rPr>
          <w:sz w:val="24"/>
          <w:szCs w:val="24"/>
        </w:rPr>
      </w:pPr>
      <w:r w:rsidRPr="008776F2">
        <w:rPr>
          <w:sz w:val="24"/>
        </w:rPr>
        <w:t xml:space="preserve">(Wels, </w:t>
      </w:r>
      <w:r w:rsidR="00553440">
        <w:rPr>
          <w:sz w:val="24"/>
        </w:rPr>
        <w:t>07</w:t>
      </w:r>
      <w:r w:rsidRPr="008776F2">
        <w:rPr>
          <w:sz w:val="24"/>
        </w:rPr>
        <w:t>.0</w:t>
      </w:r>
      <w:r w:rsidR="00553440">
        <w:rPr>
          <w:sz w:val="24"/>
        </w:rPr>
        <w:t>3</w:t>
      </w:r>
      <w:r w:rsidRPr="008776F2">
        <w:rPr>
          <w:sz w:val="24"/>
        </w:rPr>
        <w:t>.2023) Znów najwyższe miejsca na podium dla firmy Fronius w dorocznym „Przeglądzie akumulatorów” organizowanym przez Uniwersytet Nauk Stosowanych w Berlinie (HTW). Jury doceniło przede wszystkim wysoką sprawność systemu. Pierwsze miejsce w kategorii 5 kW zdobył Fronius Primo GEN24 6.0 Plus, natomiast w kategorii 10 kW najlepszy okazał się Fronius Symo GEN24 10.0 Plus. Ponadto w przypadku obu urządzeń Firma Fronius, jako jeden z dwóch producentów, zmieściła się po raz kolejny w klasie efektywności energetycznej A.</w:t>
      </w:r>
    </w:p>
    <w:p w14:paraId="2394DF3F" w14:textId="77777777" w:rsidR="003E6855" w:rsidRPr="008776F2" w:rsidRDefault="003E6855" w:rsidP="00604BFB">
      <w:pPr>
        <w:jc w:val="both"/>
        <w:rPr>
          <w:sz w:val="20"/>
          <w:szCs w:val="20"/>
        </w:rPr>
      </w:pPr>
    </w:p>
    <w:p w14:paraId="7CA4E74B" w14:textId="76602899" w:rsidR="00653250" w:rsidRPr="008776F2" w:rsidRDefault="00D87B52" w:rsidP="00D87B52">
      <w:pPr>
        <w:jc w:val="both"/>
        <w:rPr>
          <w:sz w:val="20"/>
          <w:szCs w:val="20"/>
        </w:rPr>
      </w:pPr>
      <w:r w:rsidRPr="008776F2">
        <w:rPr>
          <w:sz w:val="20"/>
        </w:rPr>
        <w:t xml:space="preserve">Przegląd akumulatorów pod patronatem HTW Berlin to ogólnobranżowe coroczne badanie rynku, prowadzone przez niezależne instytuty, w celu porównania systemów magazynowania energii fotowoltaicznej przeznaczonych dla klientów indywidualnych. W tym roku w konkursie zmierzyło się 18 systemów magazynowania energii 11 producentów. O pozycji w rankingu decyduje wskaźnik System Performance Index (SPI), który jest oparty o niezależną metodologię oceny i stanowi dobry wyznacznik dla instalatorów i klientów końcowych poszukujących energooszczędnych rozwiązań do magazynowania energii. Wyniki są imponujące: wysoki współczynnik sprawności systemu oznacza mniejsze straty energii, co z kolei prowadzi do większych zysków i szybszej amortyzacji kosztów inwestycji. </w:t>
      </w:r>
    </w:p>
    <w:p w14:paraId="74676A41" w14:textId="745DF602" w:rsidR="00653250" w:rsidRPr="008776F2" w:rsidRDefault="00653250" w:rsidP="00653250">
      <w:pPr>
        <w:jc w:val="both"/>
        <w:rPr>
          <w:sz w:val="20"/>
          <w:szCs w:val="20"/>
        </w:rPr>
      </w:pPr>
      <w:r w:rsidRPr="008776F2">
        <w:rPr>
          <w:i/>
          <w:sz w:val="20"/>
        </w:rPr>
        <w:t xml:space="preserve">„Wprowadzamy energię ze słońca w życie naszych klientów. Po raz kolejny mogliśmy to udowodnić podczas Przeglądu akumulatorów HTW. Falowniki hybrydowe Fronius GEN24 Plus doskonale realizują naszą wizję 24 godzin słońca. Najwydajniej pozyskuję energię ze słońca za dnia do wykorzystania w nocy. Optymalnie korzystają z również posiadanych zasobów  co jest niezbędne do realizacji wizję zrównoważonego rozwoju. Wynik ten jest efektem naszej konsekwentnej pracy nad oceną efektywności urządzeń w całym cyklu życia (LCA) </w:t>
      </w:r>
      <w:r w:rsidRPr="008776F2">
        <w:rPr>
          <w:sz w:val="20"/>
        </w:rPr>
        <w:t>— mówi Martin Hackl, Global Dyrektor działu Solar Energy, Fronius International GmbH.</w:t>
      </w:r>
    </w:p>
    <w:p w14:paraId="3E643806" w14:textId="4254883F" w:rsidR="00653250" w:rsidRPr="008776F2" w:rsidRDefault="00924D89" w:rsidP="00653250">
      <w:pPr>
        <w:pStyle w:val="berschrift4"/>
      </w:pPr>
      <w:r w:rsidRPr="008776F2">
        <w:t>Jeszcze lepsze wyniki</w:t>
      </w:r>
    </w:p>
    <w:p w14:paraId="25C61FAA" w14:textId="136E887B" w:rsidR="00653250" w:rsidRPr="008776F2" w:rsidRDefault="000F3AB0" w:rsidP="00653250">
      <w:pPr>
        <w:jc w:val="both"/>
        <w:rPr>
          <w:sz w:val="20"/>
          <w:szCs w:val="20"/>
        </w:rPr>
      </w:pPr>
      <w:r w:rsidRPr="008776F2">
        <w:rPr>
          <w:sz w:val="20"/>
        </w:rPr>
        <w:t xml:space="preserve">W kategorii mocy 5 kW falownik Primo GEN24 6.0 Plus współpracujący z systemem BYD Battery-Box Premium HVS 7.7 uzyskał wynik SPI 92,6 procent. Natomiast w kategorii mocy 10 kW falownik Symo GEN24 10.0 Plus w zestawie z systemem BYD Battery-Box Premium HVS 10.2 uzyskał wynik </w:t>
      </w:r>
      <w:r w:rsidRPr="008776F2">
        <w:rPr>
          <w:sz w:val="20"/>
        </w:rPr>
        <w:lastRenderedPageBreak/>
        <w:t>SPI 95,4 procent. „</w:t>
      </w:r>
      <w:r w:rsidRPr="008776F2">
        <w:rPr>
          <w:i/>
          <w:sz w:val="20"/>
        </w:rPr>
        <w:t>W obu przypadkach poprawiliśmy wynik z ubiegłego roku”,</w:t>
      </w:r>
      <w:r w:rsidRPr="008776F2">
        <w:rPr>
          <w:sz w:val="20"/>
        </w:rPr>
        <w:t xml:space="preserve"> wyjaśnia z dumą Susanne Lampl, menadżerka produktu we Fronius International. </w:t>
      </w:r>
    </w:p>
    <w:p w14:paraId="01354A13" w14:textId="77777777" w:rsidR="00653250" w:rsidRPr="008776F2" w:rsidRDefault="00653250" w:rsidP="00D87B52">
      <w:pPr>
        <w:jc w:val="both"/>
        <w:rPr>
          <w:sz w:val="20"/>
          <w:szCs w:val="20"/>
        </w:rPr>
      </w:pPr>
    </w:p>
    <w:p w14:paraId="317A39D8" w14:textId="1453ACEF" w:rsidR="00D87B52" w:rsidRPr="008776F2" w:rsidRDefault="00D87B52" w:rsidP="00D87B52">
      <w:pPr>
        <w:pStyle w:val="berschrift4"/>
      </w:pPr>
      <w:r w:rsidRPr="008776F2">
        <w:t>Sukces dzięki Multi Flow Technology</w:t>
      </w:r>
    </w:p>
    <w:p w14:paraId="2E819C0E" w14:textId="09A98BEA" w:rsidR="008776F2" w:rsidRPr="00553440" w:rsidRDefault="00D87B52" w:rsidP="008776F2">
      <w:pPr>
        <w:jc w:val="both"/>
        <w:rPr>
          <w:sz w:val="20"/>
          <w:szCs w:val="20"/>
        </w:rPr>
      </w:pPr>
      <w:r w:rsidRPr="008776F2">
        <w:rPr>
          <w:sz w:val="20"/>
        </w:rPr>
        <w:t xml:space="preserve">Kluczowym czynnikiem decydującym o naszym sukcesie okazała się technologia Multi Flow Technology, czyli inteligentne zarządzanie przepływami energii. Technologia ta zapewnia nie tylko równoczesny przepływ energii we wszystkich kierunkach, ale także możliwość podłączenia akumulatora po stronie AC i DC. Rozwiązanie to jest oparte na układach elektronicznych mocy. Dzięki zastosowaniu półprzewodników mocy na bazie węglika krzemu można osiągnąć bardzo wysoką sprawność konwersji nawet przy niewielkim obciążeniu na poziomie zaledwie paruset watów. </w:t>
      </w:r>
    </w:p>
    <w:p w14:paraId="4DA7FFF4" w14:textId="578C21A7" w:rsidR="00952A20" w:rsidRPr="008776F2" w:rsidRDefault="00952A20" w:rsidP="00952A20">
      <w:pPr>
        <w:rPr>
          <w:sz w:val="20"/>
          <w:szCs w:val="20"/>
        </w:rPr>
      </w:pPr>
      <w:r w:rsidRPr="008776F2">
        <w:rPr>
          <w:sz w:val="20"/>
        </w:rPr>
        <w:t xml:space="preserve">Wszystkie informacje o Przeglądzie akumulatorów znajdą Państwo tutaj: </w:t>
      </w:r>
      <w:hyperlink r:id="rId7" w:history="1">
        <w:r w:rsidR="00553440" w:rsidRPr="00553440">
          <w:rPr>
            <w:rStyle w:val="Hyperlink"/>
          </w:rPr>
          <w:t>https://solar.htw-berlin.de/studien/stromspeicher-inspektion-2023/</w:t>
        </w:r>
      </w:hyperlink>
    </w:p>
    <w:p w14:paraId="367F5336" w14:textId="77777777" w:rsidR="00952A20" w:rsidRPr="008776F2" w:rsidRDefault="00952A20" w:rsidP="0044171E">
      <w:pPr>
        <w:spacing w:before="40" w:after="40"/>
        <w:jc w:val="both"/>
        <w:rPr>
          <w:sz w:val="20"/>
          <w:szCs w:val="20"/>
        </w:rPr>
      </w:pPr>
    </w:p>
    <w:p w14:paraId="39701604" w14:textId="35D4B061" w:rsidR="0044171E" w:rsidRPr="008776F2" w:rsidRDefault="0044171E" w:rsidP="0044171E">
      <w:pPr>
        <w:spacing w:before="40" w:after="40"/>
        <w:jc w:val="both"/>
        <w:rPr>
          <w:sz w:val="20"/>
          <w:szCs w:val="20"/>
        </w:rPr>
      </w:pPr>
      <w:r w:rsidRPr="008776F2">
        <w:rPr>
          <w:sz w:val="20"/>
        </w:rPr>
        <w:t xml:space="preserve">Słowa: </w:t>
      </w:r>
      <w:r w:rsidR="00553440">
        <w:rPr>
          <w:sz w:val="20"/>
        </w:rPr>
        <w:t>403</w:t>
      </w:r>
    </w:p>
    <w:p w14:paraId="1C097BA3" w14:textId="56919211" w:rsidR="0044171E" w:rsidRPr="008776F2" w:rsidRDefault="0044171E" w:rsidP="0044171E">
      <w:pPr>
        <w:spacing w:before="40" w:after="40"/>
        <w:jc w:val="both"/>
        <w:rPr>
          <w:sz w:val="20"/>
          <w:szCs w:val="20"/>
        </w:rPr>
      </w:pPr>
      <w:r w:rsidRPr="008776F2">
        <w:rPr>
          <w:sz w:val="20"/>
        </w:rPr>
        <w:t>Znaki:</w:t>
      </w:r>
      <w:r w:rsidR="00553440">
        <w:rPr>
          <w:sz w:val="20"/>
        </w:rPr>
        <w:t xml:space="preserve"> 3034</w:t>
      </w:r>
      <w:r w:rsidRPr="008776F2">
        <w:rPr>
          <w:sz w:val="20"/>
        </w:rPr>
        <w:t xml:space="preserve"> (ze spacjami)</w:t>
      </w:r>
    </w:p>
    <w:p w14:paraId="27EFE6A5" w14:textId="77777777" w:rsidR="0044171E" w:rsidRPr="008776F2" w:rsidRDefault="0044171E" w:rsidP="00604BFB">
      <w:pPr>
        <w:jc w:val="both"/>
        <w:rPr>
          <w:sz w:val="20"/>
          <w:szCs w:val="20"/>
        </w:rPr>
      </w:pPr>
    </w:p>
    <w:p w14:paraId="7EC534EB" w14:textId="78A06791" w:rsidR="00B8257D" w:rsidRPr="008776F2" w:rsidRDefault="00B8257D" w:rsidP="00604BFB">
      <w:pPr>
        <w:pStyle w:val="berschrift4"/>
        <w:jc w:val="both"/>
        <w:rPr>
          <w:sz w:val="20"/>
          <w:szCs w:val="20"/>
        </w:rPr>
      </w:pPr>
      <w:r w:rsidRPr="008776F2">
        <w:rPr>
          <w:sz w:val="20"/>
        </w:rPr>
        <w:t>Wykaz materiałów graficznych</w:t>
      </w:r>
    </w:p>
    <w:p w14:paraId="5B350428" w14:textId="2807E9D3" w:rsidR="00952A20" w:rsidRPr="008776F2" w:rsidRDefault="00553440" w:rsidP="00952A20">
      <w:pPr>
        <w:jc w:val="both"/>
        <w:rPr>
          <w:sz w:val="18"/>
          <w:szCs w:val="18"/>
        </w:rPr>
      </w:pPr>
      <w:r>
        <w:rPr>
          <w:noProof/>
          <w:sz w:val="18"/>
          <w:szCs w:val="18"/>
        </w:rPr>
        <w:drawing>
          <wp:anchor distT="0" distB="0" distL="114300" distR="114300" simplePos="0" relativeHeight="251665408" behindDoc="1" locked="0" layoutInCell="1" allowOverlap="1" wp14:anchorId="52A201EB" wp14:editId="2C306C0A">
            <wp:simplePos x="0" y="0"/>
            <wp:positionH relativeFrom="margin">
              <wp:posOffset>-4445</wp:posOffset>
            </wp:positionH>
            <wp:positionV relativeFrom="paragraph">
              <wp:posOffset>272415</wp:posOffset>
            </wp:positionV>
            <wp:extent cx="2611959" cy="1841500"/>
            <wp:effectExtent l="0" t="0" r="0" b="6350"/>
            <wp:wrapTight wrapText="bothSides">
              <wp:wrapPolygon edited="0">
                <wp:start x="0" y="0"/>
                <wp:lineTo x="0" y="21451"/>
                <wp:lineTo x="21427" y="21451"/>
                <wp:lineTo x="21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1959" cy="1841500"/>
                    </a:xfrm>
                    <a:prstGeom prst="rect">
                      <a:avLst/>
                    </a:prstGeom>
                  </pic:spPr>
                </pic:pic>
              </a:graphicData>
            </a:graphic>
          </wp:anchor>
        </w:drawing>
      </w:r>
      <w:r w:rsidR="00952A20" w:rsidRPr="008776F2">
        <w:rPr>
          <w:noProof/>
        </w:rPr>
        <w:drawing>
          <wp:anchor distT="0" distB="0" distL="114300" distR="114300" simplePos="0" relativeHeight="251663360" behindDoc="1" locked="0" layoutInCell="1" allowOverlap="1" wp14:anchorId="5FC1A1CD" wp14:editId="33010966">
            <wp:simplePos x="0" y="0"/>
            <wp:positionH relativeFrom="margin">
              <wp:align>left</wp:align>
            </wp:positionH>
            <wp:positionV relativeFrom="paragraph">
              <wp:posOffset>271145</wp:posOffset>
            </wp:positionV>
            <wp:extent cx="2533650" cy="1790065"/>
            <wp:effectExtent l="0" t="0" r="0" b="635"/>
            <wp:wrapTight wrapText="bothSides">
              <wp:wrapPolygon edited="0">
                <wp:start x="0" y="0"/>
                <wp:lineTo x="0" y="21378"/>
                <wp:lineTo x="21438" y="21378"/>
                <wp:lineTo x="2143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D536B" w14:textId="77777777" w:rsidR="00952A20" w:rsidRPr="008776F2" w:rsidRDefault="00952A20" w:rsidP="00952A20">
      <w:pPr>
        <w:jc w:val="both"/>
        <w:rPr>
          <w:sz w:val="18"/>
          <w:szCs w:val="18"/>
        </w:rPr>
      </w:pPr>
    </w:p>
    <w:p w14:paraId="7AA5DE06" w14:textId="77777777" w:rsidR="00952A20" w:rsidRPr="008776F2" w:rsidRDefault="00952A20" w:rsidP="00952A20">
      <w:pPr>
        <w:jc w:val="both"/>
        <w:rPr>
          <w:sz w:val="18"/>
          <w:szCs w:val="18"/>
        </w:rPr>
      </w:pPr>
    </w:p>
    <w:p w14:paraId="67A79752" w14:textId="77777777" w:rsidR="00952A20" w:rsidRPr="008776F2" w:rsidRDefault="00952A20" w:rsidP="00952A20">
      <w:pPr>
        <w:jc w:val="both"/>
        <w:rPr>
          <w:sz w:val="18"/>
          <w:szCs w:val="18"/>
        </w:rPr>
      </w:pPr>
    </w:p>
    <w:p w14:paraId="7935025B" w14:textId="77777777" w:rsidR="00952A20" w:rsidRPr="008776F2" w:rsidRDefault="00952A20" w:rsidP="00952A20">
      <w:pPr>
        <w:jc w:val="both"/>
        <w:rPr>
          <w:sz w:val="18"/>
          <w:szCs w:val="18"/>
        </w:rPr>
      </w:pPr>
    </w:p>
    <w:p w14:paraId="34C9512C" w14:textId="77777777" w:rsidR="00952A20" w:rsidRPr="008776F2" w:rsidRDefault="00952A20" w:rsidP="00952A20">
      <w:pPr>
        <w:jc w:val="both"/>
        <w:rPr>
          <w:sz w:val="18"/>
          <w:szCs w:val="18"/>
        </w:rPr>
      </w:pPr>
    </w:p>
    <w:p w14:paraId="5ECBB119" w14:textId="77777777" w:rsidR="00AB5823" w:rsidRDefault="00AB5823" w:rsidP="00952A20">
      <w:pPr>
        <w:jc w:val="both"/>
        <w:rPr>
          <w:sz w:val="18"/>
        </w:rPr>
      </w:pPr>
    </w:p>
    <w:p w14:paraId="4808C1E3" w14:textId="77777777" w:rsidR="00AB5823" w:rsidRDefault="00AB5823" w:rsidP="00952A20">
      <w:pPr>
        <w:jc w:val="both"/>
        <w:rPr>
          <w:sz w:val="18"/>
        </w:rPr>
      </w:pPr>
    </w:p>
    <w:p w14:paraId="24A328A2" w14:textId="50F045C9" w:rsidR="00D73688" w:rsidRPr="008776F2" w:rsidRDefault="00952A20" w:rsidP="00952A20">
      <w:pPr>
        <w:jc w:val="both"/>
        <w:rPr>
          <w:sz w:val="18"/>
          <w:szCs w:val="18"/>
        </w:rPr>
      </w:pPr>
      <w:r w:rsidRPr="008776F2">
        <w:rPr>
          <w:sz w:val="18"/>
        </w:rPr>
        <w:t xml:space="preserve">Wysoka sprawność systemu oznacza jego szybszą amortyzację. </w:t>
      </w:r>
    </w:p>
    <w:p w14:paraId="15C02C1C" w14:textId="090F224A" w:rsidR="00952A20" w:rsidRPr="008776F2" w:rsidRDefault="00952A20" w:rsidP="00952A20">
      <w:pPr>
        <w:jc w:val="both"/>
        <w:rPr>
          <w:sz w:val="18"/>
          <w:szCs w:val="18"/>
        </w:rPr>
      </w:pPr>
      <w:r w:rsidRPr="008776F2">
        <w:rPr>
          <w:noProof/>
        </w:rPr>
        <w:drawing>
          <wp:anchor distT="0" distB="0" distL="114300" distR="114300" simplePos="0" relativeHeight="251659264" behindDoc="1" locked="0" layoutInCell="1" allowOverlap="1" wp14:anchorId="6021D1A2" wp14:editId="0C742AC4">
            <wp:simplePos x="0" y="0"/>
            <wp:positionH relativeFrom="margin">
              <wp:align>left</wp:align>
            </wp:positionH>
            <wp:positionV relativeFrom="paragraph">
              <wp:posOffset>254000</wp:posOffset>
            </wp:positionV>
            <wp:extent cx="2658745" cy="1495425"/>
            <wp:effectExtent l="0" t="0" r="8255" b="0"/>
            <wp:wrapTight wrapText="bothSides">
              <wp:wrapPolygon edited="0">
                <wp:start x="0" y="0"/>
                <wp:lineTo x="0" y="21187"/>
                <wp:lineTo x="21512" y="21187"/>
                <wp:lineTo x="215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406" cy="149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227D9" w14:textId="77777777" w:rsidR="00952A20" w:rsidRPr="008776F2" w:rsidRDefault="00952A20" w:rsidP="00952A20">
      <w:pPr>
        <w:jc w:val="both"/>
        <w:rPr>
          <w:sz w:val="20"/>
          <w:szCs w:val="20"/>
        </w:rPr>
      </w:pPr>
    </w:p>
    <w:p w14:paraId="310200CC" w14:textId="77777777" w:rsidR="00952A20" w:rsidRPr="008776F2" w:rsidRDefault="00952A20" w:rsidP="00952A20">
      <w:pPr>
        <w:jc w:val="both"/>
        <w:rPr>
          <w:sz w:val="20"/>
          <w:szCs w:val="20"/>
        </w:rPr>
      </w:pPr>
    </w:p>
    <w:p w14:paraId="5DD038F4" w14:textId="77777777" w:rsidR="00952A20" w:rsidRPr="008776F2" w:rsidRDefault="00952A20" w:rsidP="00952A20">
      <w:pPr>
        <w:jc w:val="both"/>
        <w:rPr>
          <w:sz w:val="20"/>
          <w:szCs w:val="20"/>
        </w:rPr>
      </w:pPr>
    </w:p>
    <w:p w14:paraId="7B1E804D" w14:textId="6AA65DCC" w:rsidR="00952A20" w:rsidRDefault="00952A20" w:rsidP="00952A20">
      <w:pPr>
        <w:jc w:val="both"/>
        <w:rPr>
          <w:sz w:val="20"/>
          <w:szCs w:val="20"/>
        </w:rPr>
      </w:pPr>
    </w:p>
    <w:p w14:paraId="5D0E79D7" w14:textId="77777777" w:rsidR="00AB5823" w:rsidRPr="008776F2" w:rsidRDefault="00AB5823" w:rsidP="00952A20">
      <w:pPr>
        <w:jc w:val="both"/>
        <w:rPr>
          <w:sz w:val="20"/>
          <w:szCs w:val="20"/>
        </w:rPr>
      </w:pPr>
    </w:p>
    <w:p w14:paraId="3599979E" w14:textId="77777777" w:rsidR="00AB5823" w:rsidRDefault="00AB5823" w:rsidP="00952A20">
      <w:pPr>
        <w:jc w:val="both"/>
        <w:rPr>
          <w:sz w:val="16"/>
        </w:rPr>
      </w:pPr>
    </w:p>
    <w:p w14:paraId="557E54D5" w14:textId="605A4DB5" w:rsidR="00952A20" w:rsidRDefault="00952A20" w:rsidP="00952A20">
      <w:pPr>
        <w:jc w:val="both"/>
        <w:rPr>
          <w:sz w:val="16"/>
        </w:rPr>
      </w:pPr>
      <w:r w:rsidRPr="008776F2">
        <w:rPr>
          <w:sz w:val="16"/>
        </w:rPr>
        <w:t>Martin Hackl, Dyrektor działu Solar Energy, Fronius International GmbH.</w:t>
      </w:r>
    </w:p>
    <w:p w14:paraId="0363F345" w14:textId="77777777" w:rsidR="00AB5823" w:rsidRPr="008776F2" w:rsidRDefault="00AB5823" w:rsidP="00952A20">
      <w:pPr>
        <w:jc w:val="both"/>
        <w:rPr>
          <w:sz w:val="16"/>
          <w:szCs w:val="16"/>
        </w:rPr>
      </w:pPr>
    </w:p>
    <w:p w14:paraId="6C63BF03" w14:textId="4ABD2697" w:rsidR="00952A20" w:rsidRPr="008776F2" w:rsidRDefault="00952A20" w:rsidP="00952A20">
      <w:pPr>
        <w:jc w:val="both"/>
        <w:rPr>
          <w:sz w:val="20"/>
          <w:szCs w:val="20"/>
        </w:rPr>
      </w:pPr>
      <w:r w:rsidRPr="008776F2">
        <w:rPr>
          <w:noProof/>
          <w:sz w:val="20"/>
        </w:rPr>
        <w:lastRenderedPageBreak/>
        <w:drawing>
          <wp:anchor distT="0" distB="0" distL="114300" distR="114300" simplePos="0" relativeHeight="251660288" behindDoc="1" locked="0" layoutInCell="1" allowOverlap="1" wp14:anchorId="5F995ECB" wp14:editId="1AB009A0">
            <wp:simplePos x="0" y="0"/>
            <wp:positionH relativeFrom="margin">
              <wp:align>left</wp:align>
            </wp:positionH>
            <wp:positionV relativeFrom="paragraph">
              <wp:posOffset>48260</wp:posOffset>
            </wp:positionV>
            <wp:extent cx="2658745" cy="1772920"/>
            <wp:effectExtent l="0" t="0" r="8255" b="0"/>
            <wp:wrapTight wrapText="bothSides">
              <wp:wrapPolygon edited="0">
                <wp:start x="0" y="0"/>
                <wp:lineTo x="0" y="21352"/>
                <wp:lineTo x="21512" y="2135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745" cy="1772920"/>
                    </a:xfrm>
                    <a:prstGeom prst="rect">
                      <a:avLst/>
                    </a:prstGeom>
                  </pic:spPr>
                </pic:pic>
              </a:graphicData>
            </a:graphic>
            <wp14:sizeRelH relativeFrom="margin">
              <wp14:pctWidth>0</wp14:pctWidth>
            </wp14:sizeRelH>
            <wp14:sizeRelV relativeFrom="margin">
              <wp14:pctHeight>0</wp14:pctHeight>
            </wp14:sizeRelV>
          </wp:anchor>
        </w:drawing>
      </w:r>
    </w:p>
    <w:p w14:paraId="28FFBF6F" w14:textId="77777777" w:rsidR="00952A20" w:rsidRPr="008776F2" w:rsidRDefault="00952A20" w:rsidP="00952A20">
      <w:pPr>
        <w:jc w:val="both"/>
        <w:rPr>
          <w:sz w:val="20"/>
          <w:szCs w:val="20"/>
        </w:rPr>
      </w:pPr>
    </w:p>
    <w:p w14:paraId="51A03DE0" w14:textId="77777777" w:rsidR="00952A20" w:rsidRPr="008776F2" w:rsidRDefault="00952A20" w:rsidP="00952A20">
      <w:pPr>
        <w:jc w:val="both"/>
        <w:rPr>
          <w:sz w:val="20"/>
          <w:szCs w:val="20"/>
        </w:rPr>
      </w:pPr>
    </w:p>
    <w:p w14:paraId="483C362A" w14:textId="77777777" w:rsidR="00952A20" w:rsidRPr="008776F2" w:rsidRDefault="00952A20" w:rsidP="00952A20">
      <w:pPr>
        <w:jc w:val="both"/>
        <w:rPr>
          <w:sz w:val="20"/>
          <w:szCs w:val="20"/>
        </w:rPr>
      </w:pPr>
    </w:p>
    <w:p w14:paraId="408186E8" w14:textId="77777777" w:rsidR="00952A20" w:rsidRPr="008776F2" w:rsidRDefault="00952A20" w:rsidP="00952A20">
      <w:pPr>
        <w:jc w:val="both"/>
        <w:rPr>
          <w:sz w:val="20"/>
          <w:szCs w:val="20"/>
        </w:rPr>
      </w:pPr>
    </w:p>
    <w:p w14:paraId="5F73FA64" w14:textId="77777777" w:rsidR="00AB5823" w:rsidRDefault="00AB5823" w:rsidP="00952A20">
      <w:pPr>
        <w:jc w:val="both"/>
        <w:rPr>
          <w:sz w:val="16"/>
        </w:rPr>
      </w:pPr>
    </w:p>
    <w:p w14:paraId="303E8CA5" w14:textId="77777777" w:rsidR="00AB5823" w:rsidRDefault="00AB5823" w:rsidP="00952A20">
      <w:pPr>
        <w:jc w:val="both"/>
        <w:rPr>
          <w:sz w:val="16"/>
        </w:rPr>
      </w:pPr>
    </w:p>
    <w:p w14:paraId="0B8C41CF" w14:textId="2C7861BA" w:rsidR="00952A20" w:rsidRDefault="00952A20" w:rsidP="00952A20">
      <w:pPr>
        <w:jc w:val="both"/>
        <w:rPr>
          <w:sz w:val="16"/>
        </w:rPr>
      </w:pPr>
      <w:r w:rsidRPr="008776F2">
        <w:rPr>
          <w:sz w:val="16"/>
        </w:rPr>
        <w:t>Susanne Lampl, menedżerka produktu, Business Unit Solar Energy, Fronius International GmbH.</w:t>
      </w:r>
    </w:p>
    <w:p w14:paraId="2149F73C" w14:textId="77777777" w:rsidR="00AB5823" w:rsidRPr="008776F2" w:rsidRDefault="00AB5823" w:rsidP="00952A20">
      <w:pPr>
        <w:jc w:val="both"/>
        <w:rPr>
          <w:sz w:val="16"/>
          <w:szCs w:val="16"/>
        </w:rPr>
      </w:pPr>
    </w:p>
    <w:p w14:paraId="678B5CFF" w14:textId="25003DBD" w:rsidR="00B8257D" w:rsidRPr="008776F2" w:rsidRDefault="00B25C3B" w:rsidP="00604BFB">
      <w:pPr>
        <w:jc w:val="both"/>
        <w:rPr>
          <w:i/>
          <w:iCs/>
          <w:sz w:val="18"/>
          <w:szCs w:val="18"/>
        </w:rPr>
      </w:pPr>
      <w:r w:rsidRPr="008776F2">
        <w:rPr>
          <w:i/>
          <w:sz w:val="18"/>
        </w:rPr>
        <w:t>Prawa do fotografii: Fronius International GmbH, przedruk możliwy nieodpłatnie</w:t>
      </w:r>
    </w:p>
    <w:p w14:paraId="0C1181E0" w14:textId="3362D29E" w:rsidR="008C5190" w:rsidRDefault="008C5190">
      <w:pPr>
        <w:rPr>
          <w:rFonts w:eastAsiaTheme="majorEastAsia" w:cstheme="majorBidi"/>
          <w:iCs/>
          <w:color w:val="000000" w:themeColor="text1"/>
          <w:sz w:val="20"/>
          <w:szCs w:val="20"/>
        </w:rPr>
      </w:pPr>
    </w:p>
    <w:p w14:paraId="7136D43B" w14:textId="5F78DDA8" w:rsidR="00AB5823" w:rsidRDefault="00AB5823">
      <w:pPr>
        <w:rPr>
          <w:rFonts w:eastAsiaTheme="majorEastAsia" w:cstheme="majorBidi"/>
          <w:iCs/>
          <w:color w:val="000000" w:themeColor="text1"/>
          <w:sz w:val="20"/>
          <w:szCs w:val="20"/>
        </w:rPr>
      </w:pPr>
    </w:p>
    <w:p w14:paraId="3ADC6A8C" w14:textId="34F041A5" w:rsidR="00AB5823" w:rsidRDefault="00AB5823">
      <w:pPr>
        <w:rPr>
          <w:rFonts w:eastAsiaTheme="majorEastAsia" w:cstheme="majorBidi"/>
          <w:iCs/>
          <w:color w:val="000000" w:themeColor="text1"/>
          <w:sz w:val="20"/>
          <w:szCs w:val="20"/>
        </w:rPr>
      </w:pPr>
    </w:p>
    <w:p w14:paraId="0013270B" w14:textId="79CD8B23" w:rsidR="00AB5823" w:rsidRDefault="00AB5823">
      <w:pPr>
        <w:rPr>
          <w:rFonts w:eastAsiaTheme="majorEastAsia" w:cstheme="majorBidi"/>
          <w:iCs/>
          <w:color w:val="000000" w:themeColor="text1"/>
          <w:sz w:val="20"/>
          <w:szCs w:val="20"/>
        </w:rPr>
      </w:pPr>
    </w:p>
    <w:p w14:paraId="5D5FBC1E" w14:textId="3CC0C2DC" w:rsidR="00AB5823" w:rsidRDefault="00AB5823">
      <w:pPr>
        <w:rPr>
          <w:rFonts w:eastAsiaTheme="majorEastAsia" w:cstheme="majorBidi"/>
          <w:iCs/>
          <w:color w:val="000000" w:themeColor="text1"/>
          <w:sz w:val="20"/>
          <w:szCs w:val="20"/>
        </w:rPr>
      </w:pPr>
    </w:p>
    <w:p w14:paraId="4A004458" w14:textId="074AB652" w:rsidR="00AB5823" w:rsidRDefault="00AB5823">
      <w:pPr>
        <w:rPr>
          <w:rFonts w:eastAsiaTheme="majorEastAsia" w:cstheme="majorBidi"/>
          <w:iCs/>
          <w:color w:val="000000" w:themeColor="text1"/>
          <w:sz w:val="20"/>
          <w:szCs w:val="20"/>
        </w:rPr>
      </w:pPr>
    </w:p>
    <w:p w14:paraId="58410CCD" w14:textId="52950A56" w:rsidR="00AB5823" w:rsidRDefault="00AB5823">
      <w:pPr>
        <w:rPr>
          <w:rFonts w:eastAsiaTheme="majorEastAsia" w:cstheme="majorBidi"/>
          <w:iCs/>
          <w:color w:val="000000" w:themeColor="text1"/>
          <w:sz w:val="20"/>
          <w:szCs w:val="20"/>
        </w:rPr>
      </w:pPr>
    </w:p>
    <w:p w14:paraId="3ABA545E" w14:textId="19436CCC" w:rsidR="00AB5823" w:rsidRDefault="00AB5823">
      <w:pPr>
        <w:rPr>
          <w:rFonts w:eastAsiaTheme="majorEastAsia" w:cstheme="majorBidi"/>
          <w:iCs/>
          <w:color w:val="000000" w:themeColor="text1"/>
          <w:sz w:val="20"/>
          <w:szCs w:val="20"/>
        </w:rPr>
      </w:pPr>
    </w:p>
    <w:p w14:paraId="4AB18EFF" w14:textId="18C7B204" w:rsidR="00AB5823" w:rsidRDefault="00AB5823">
      <w:pPr>
        <w:rPr>
          <w:rFonts w:eastAsiaTheme="majorEastAsia" w:cstheme="majorBidi"/>
          <w:iCs/>
          <w:color w:val="000000" w:themeColor="text1"/>
          <w:sz w:val="20"/>
          <w:szCs w:val="20"/>
        </w:rPr>
      </w:pPr>
    </w:p>
    <w:p w14:paraId="40051414" w14:textId="2CB20B35" w:rsidR="00AB5823" w:rsidRDefault="00AB5823">
      <w:pPr>
        <w:rPr>
          <w:rFonts w:eastAsiaTheme="majorEastAsia" w:cstheme="majorBidi"/>
          <w:iCs/>
          <w:color w:val="000000" w:themeColor="text1"/>
          <w:sz w:val="20"/>
          <w:szCs w:val="20"/>
        </w:rPr>
      </w:pPr>
    </w:p>
    <w:p w14:paraId="4564CC44" w14:textId="46FD28A4" w:rsidR="00553440" w:rsidRDefault="00553440">
      <w:pPr>
        <w:rPr>
          <w:rFonts w:eastAsiaTheme="majorEastAsia" w:cstheme="majorBidi"/>
          <w:iCs/>
          <w:color w:val="000000" w:themeColor="text1"/>
          <w:sz w:val="20"/>
          <w:szCs w:val="20"/>
        </w:rPr>
      </w:pPr>
    </w:p>
    <w:p w14:paraId="790CF08B" w14:textId="007503F4" w:rsidR="00553440" w:rsidRDefault="00553440">
      <w:pPr>
        <w:rPr>
          <w:rFonts w:eastAsiaTheme="majorEastAsia" w:cstheme="majorBidi"/>
          <w:iCs/>
          <w:color w:val="000000" w:themeColor="text1"/>
          <w:sz w:val="20"/>
          <w:szCs w:val="20"/>
        </w:rPr>
      </w:pPr>
    </w:p>
    <w:p w14:paraId="24255A12" w14:textId="47FD2162" w:rsidR="00553440" w:rsidRDefault="00553440">
      <w:pPr>
        <w:rPr>
          <w:rFonts w:eastAsiaTheme="majorEastAsia" w:cstheme="majorBidi"/>
          <w:iCs/>
          <w:color w:val="000000" w:themeColor="text1"/>
          <w:sz w:val="20"/>
          <w:szCs w:val="20"/>
        </w:rPr>
      </w:pPr>
    </w:p>
    <w:p w14:paraId="54F67E76" w14:textId="0F5E4C89" w:rsidR="00553440" w:rsidRDefault="00553440">
      <w:pPr>
        <w:rPr>
          <w:rFonts w:eastAsiaTheme="majorEastAsia" w:cstheme="majorBidi"/>
          <w:iCs/>
          <w:color w:val="000000" w:themeColor="text1"/>
          <w:sz w:val="20"/>
          <w:szCs w:val="20"/>
        </w:rPr>
      </w:pPr>
    </w:p>
    <w:p w14:paraId="2FAAEB2D" w14:textId="4B0CFB28" w:rsidR="00553440" w:rsidRDefault="00553440">
      <w:pPr>
        <w:rPr>
          <w:rFonts w:eastAsiaTheme="majorEastAsia" w:cstheme="majorBidi"/>
          <w:iCs/>
          <w:color w:val="000000" w:themeColor="text1"/>
          <w:sz w:val="20"/>
          <w:szCs w:val="20"/>
        </w:rPr>
      </w:pPr>
    </w:p>
    <w:p w14:paraId="4C0C1741" w14:textId="06E4FDC5" w:rsidR="00553440" w:rsidRDefault="00553440">
      <w:pPr>
        <w:rPr>
          <w:rFonts w:eastAsiaTheme="majorEastAsia" w:cstheme="majorBidi"/>
          <w:iCs/>
          <w:color w:val="000000" w:themeColor="text1"/>
          <w:sz w:val="20"/>
          <w:szCs w:val="20"/>
        </w:rPr>
      </w:pPr>
    </w:p>
    <w:p w14:paraId="19E82A49" w14:textId="7AAB0370" w:rsidR="00553440" w:rsidRDefault="00553440">
      <w:pPr>
        <w:rPr>
          <w:rFonts w:eastAsiaTheme="majorEastAsia" w:cstheme="majorBidi"/>
          <w:iCs/>
          <w:color w:val="000000" w:themeColor="text1"/>
          <w:sz w:val="20"/>
          <w:szCs w:val="20"/>
        </w:rPr>
      </w:pPr>
    </w:p>
    <w:p w14:paraId="0DAFE67D" w14:textId="3029F432" w:rsidR="00553440" w:rsidRDefault="00553440">
      <w:pPr>
        <w:rPr>
          <w:rFonts w:eastAsiaTheme="majorEastAsia" w:cstheme="majorBidi"/>
          <w:iCs/>
          <w:color w:val="000000" w:themeColor="text1"/>
          <w:sz w:val="20"/>
          <w:szCs w:val="20"/>
        </w:rPr>
      </w:pPr>
    </w:p>
    <w:p w14:paraId="5489F123" w14:textId="77777777" w:rsidR="00553440" w:rsidRDefault="00553440">
      <w:pPr>
        <w:rPr>
          <w:rFonts w:eastAsiaTheme="majorEastAsia" w:cstheme="majorBidi"/>
          <w:iCs/>
          <w:color w:val="000000" w:themeColor="text1"/>
          <w:sz w:val="20"/>
          <w:szCs w:val="20"/>
        </w:rPr>
      </w:pPr>
    </w:p>
    <w:p w14:paraId="36990B36" w14:textId="284FDD20" w:rsidR="00AB5823" w:rsidRDefault="00AB5823">
      <w:pPr>
        <w:rPr>
          <w:rFonts w:eastAsiaTheme="majorEastAsia" w:cstheme="majorBidi"/>
          <w:iCs/>
          <w:color w:val="000000" w:themeColor="text1"/>
          <w:sz w:val="20"/>
          <w:szCs w:val="20"/>
        </w:rPr>
      </w:pPr>
    </w:p>
    <w:p w14:paraId="1AE2EB8B" w14:textId="0E7301F3" w:rsidR="00AB5823" w:rsidRDefault="00AB5823">
      <w:pPr>
        <w:rPr>
          <w:rFonts w:eastAsiaTheme="majorEastAsia" w:cstheme="majorBidi"/>
          <w:iCs/>
          <w:color w:val="000000" w:themeColor="text1"/>
          <w:sz w:val="20"/>
          <w:szCs w:val="20"/>
        </w:rPr>
      </w:pPr>
    </w:p>
    <w:p w14:paraId="79F0FABE" w14:textId="77777777" w:rsidR="00AB5823" w:rsidRPr="006F55A8" w:rsidRDefault="00AB5823" w:rsidP="00AB5823">
      <w:pPr>
        <w:pStyle w:val="berschrift4"/>
        <w:jc w:val="both"/>
        <w:rPr>
          <w:sz w:val="20"/>
          <w:szCs w:val="20"/>
        </w:rPr>
      </w:pPr>
      <w:r w:rsidRPr="006F55A8">
        <w:rPr>
          <w:sz w:val="20"/>
        </w:rPr>
        <w:lastRenderedPageBreak/>
        <w:t>Jednostka biznesowa „Solar Energy”</w:t>
      </w:r>
    </w:p>
    <w:p w14:paraId="2CD053C5" w14:textId="62B03A2F" w:rsidR="00AB5823" w:rsidRPr="006F55A8" w:rsidRDefault="00AB5823" w:rsidP="00AB5823">
      <w:pPr>
        <w:jc w:val="both"/>
        <w:rPr>
          <w:sz w:val="20"/>
          <w:szCs w:val="20"/>
        </w:rPr>
      </w:pPr>
      <w:r w:rsidRPr="006F55A8">
        <w:rPr>
          <w:sz w:val="20"/>
        </w:rPr>
        <w:t>Założona w 1992 r. jednostka biznesowa Fronius Solar Energy obchodzi w tym roku jubileusz 30-lecia istnienia. Pod hasłem „Energize your life” opracowujemy innowacyjne rozwiązania, które pozwalają na ekonomiczne i inteligentne wykorzystanie, magazynowanie, dystrybuowanie i zużywanie energii ze słońca. Fronius Solar Energy urzeczywistnia wizję 24 godzin słońca, torującą drogę do lepszego świata, w którym ogólnoświatowe zapotrzebowanie na energię jest pokrywane w 100 procentach ze źródeł odnawialnych. Zgodnie z zasadami zrównoważonego rozwoju nasze rozwiązania są projektowane i produkowane w całości w Europie — głównie w Austrii. Na świecie Fronius Solar Energy ma 26 oddziałów i może pochwalić się zainstalowanymi falownikami o łącznej mocy ponad 2</w:t>
      </w:r>
      <w:r w:rsidR="0066069E">
        <w:rPr>
          <w:sz w:val="20"/>
        </w:rPr>
        <w:t>9</w:t>
      </w:r>
      <w:r w:rsidRPr="006F55A8">
        <w:rPr>
          <w:sz w:val="20"/>
        </w:rPr>
        <w:t> gigawatów. Sprzedaż odbywa się za pośrednictwem globalnej sieci dystrybutorów oraz autoryzowanych firm instalacyjnych.</w:t>
      </w:r>
    </w:p>
    <w:p w14:paraId="4F2A7313" w14:textId="77777777" w:rsidR="00AB5823" w:rsidRPr="006F55A8" w:rsidRDefault="00AB5823" w:rsidP="00AB5823">
      <w:pPr>
        <w:spacing w:after="0" w:line="240" w:lineRule="auto"/>
        <w:jc w:val="both"/>
        <w:rPr>
          <w:b/>
          <w:bCs/>
          <w:sz w:val="20"/>
          <w:szCs w:val="20"/>
        </w:rPr>
      </w:pPr>
      <w:bookmarkStart w:id="0" w:name="_Hlk107480427"/>
      <w:r w:rsidRPr="006F55A8">
        <w:rPr>
          <w:b/>
          <w:sz w:val="20"/>
        </w:rPr>
        <w:t>Fronius to my.</w:t>
      </w:r>
    </w:p>
    <w:bookmarkEnd w:id="0"/>
    <w:p w14:paraId="2A8D76D2" w14:textId="32E26F70" w:rsidR="00AB5823" w:rsidRPr="006F55A8" w:rsidRDefault="00AB5823" w:rsidP="00AB5823">
      <w:pPr>
        <w:spacing w:after="0" w:line="240" w:lineRule="auto"/>
        <w:jc w:val="both"/>
        <w:rPr>
          <w:sz w:val="20"/>
          <w:szCs w:val="20"/>
        </w:rPr>
      </w:pPr>
      <w:r w:rsidRPr="006F55A8">
        <w:rPr>
          <w:sz w:val="20"/>
        </w:rPr>
        <w:t xml:space="preserve">Ponad </w:t>
      </w:r>
      <w:r w:rsidR="0066069E">
        <w:rPr>
          <w:sz w:val="20"/>
        </w:rPr>
        <w:t>7000</w:t>
      </w:r>
      <w:r w:rsidRPr="006F55A8">
        <w:rPr>
          <w:sz w:val="20"/>
        </w:rPr>
        <w:t> pracowników na całym świecie, eksport na poziomie 89 procent i 1366 przyznanych patentów: to właśnie my, to Fronius. Firma założona w 1945 r. jako jednoosobowa działalność gospodarcza zalicza się obecnie do globalnych graczy i posiada 37 spółek zależnych na całym świecie oraz sieć dystrybutorów w ponad 60 krajach. Nadal pozostajemy rodzinną firmą z Austrii, która prowadzi działalność w dziedzinach PV, spawalnictwa i ładowania akumulatorów. Od lat opracowujemy produkty i rozwiązania z myślą o lepszej przyszłości, oferujemy naszym klientom kompleksowe usługi: od dalekowzrocznego planowania i doradztwa, przez bieżące monitorowanie, aż po naprawy w zależności od potrzeb. Jesteśmy innowacyjni. Jesteśmy ciekawi świata. Fronius to my.</w:t>
      </w:r>
    </w:p>
    <w:p w14:paraId="101424BE" w14:textId="77777777" w:rsidR="00AB5823" w:rsidRPr="006F55A8" w:rsidRDefault="00AB5823" w:rsidP="00AB5823">
      <w:pPr>
        <w:jc w:val="both"/>
        <w:rPr>
          <w:sz w:val="20"/>
          <w:szCs w:val="20"/>
        </w:rPr>
      </w:pPr>
    </w:p>
    <w:p w14:paraId="6FD24751" w14:textId="77777777" w:rsidR="00AB5823" w:rsidRPr="002F207D" w:rsidRDefault="00AB5823" w:rsidP="00AB5823">
      <w:pPr>
        <w:pStyle w:val="berschrift4"/>
        <w:jc w:val="both"/>
        <w:rPr>
          <w:sz w:val="20"/>
          <w:szCs w:val="20"/>
        </w:rPr>
      </w:pPr>
      <w:r>
        <w:rPr>
          <w:sz w:val="20"/>
        </w:rPr>
        <w:t>Kontakt w przypadku zapytań</w:t>
      </w:r>
    </w:p>
    <w:p w14:paraId="7106D467" w14:textId="77777777" w:rsidR="00AB5823" w:rsidRPr="0015484D" w:rsidRDefault="00AB5823" w:rsidP="00AB5823">
      <w:pPr>
        <w:rPr>
          <w:sz w:val="20"/>
          <w:szCs w:val="20"/>
        </w:rPr>
      </w:pPr>
      <w:r>
        <w:rPr>
          <w:sz w:val="20"/>
        </w:rPr>
        <w:t>Fronius International GmbH, mgr Andrea SCHARTNER,</w:t>
      </w:r>
      <w:r>
        <w:rPr>
          <w:sz w:val="20"/>
        </w:rPr>
        <w:br/>
        <w:t xml:space="preserve">+43 664 88536765, </w:t>
      </w:r>
      <w:hyperlink r:id="rId12" w:history="1">
        <w:r>
          <w:rPr>
            <w:rStyle w:val="Hyperlink"/>
            <w:sz w:val="20"/>
          </w:rPr>
          <w:t>schartner.andrea@fronius.com</w:t>
        </w:r>
      </w:hyperlink>
      <w:r>
        <w:rPr>
          <w:sz w:val="20"/>
        </w:rPr>
        <w:t>,</w:t>
      </w:r>
      <w:r>
        <w:rPr>
          <w:sz w:val="20"/>
        </w:rPr>
        <w:br/>
        <w:t>Froniusplatz 1, 4600 Wels, Austria</w:t>
      </w:r>
    </w:p>
    <w:p w14:paraId="2E0F5580" w14:textId="77777777" w:rsidR="00AB5823" w:rsidRPr="008F22F9" w:rsidRDefault="00AB5823" w:rsidP="00AB5823">
      <w:pPr>
        <w:spacing w:before="40" w:after="40" w:line="240" w:lineRule="auto"/>
        <w:rPr>
          <w:sz w:val="20"/>
        </w:rPr>
      </w:pPr>
      <w:r w:rsidRPr="008F22F9">
        <w:rPr>
          <w:sz w:val="20"/>
        </w:rPr>
        <w:t xml:space="preserve">Agnieszka BULENDA, +48 506 450520, </w:t>
      </w:r>
      <w:hyperlink r:id="rId13" w:history="1">
        <w:r w:rsidRPr="008F22F9">
          <w:rPr>
            <w:rStyle w:val="Hyperlink"/>
            <w:sz w:val="20"/>
            <w:szCs w:val="20"/>
          </w:rPr>
          <w:t>bulenda.agnieszka@fronius.com</w:t>
        </w:r>
      </w:hyperlink>
      <w:r w:rsidRPr="008F22F9">
        <w:rPr>
          <w:sz w:val="20"/>
        </w:rPr>
        <w:t>, ul. Gustawa Eiffel`a 8, 44-109 Gliwice, Poland</w:t>
      </w:r>
    </w:p>
    <w:p w14:paraId="1D4FE080" w14:textId="77777777" w:rsidR="00AB5823" w:rsidRPr="008F22F9" w:rsidRDefault="00AB5823" w:rsidP="00AB5823">
      <w:pPr>
        <w:rPr>
          <w:bCs/>
          <w:color w:val="000000" w:themeColor="text1"/>
        </w:rPr>
      </w:pPr>
    </w:p>
    <w:p w14:paraId="1C644F8A" w14:textId="77777777" w:rsidR="00AB5823" w:rsidRDefault="00AB5823" w:rsidP="00AB5823">
      <w:pPr>
        <w:spacing w:before="40" w:after="40" w:line="240" w:lineRule="auto"/>
        <w:rPr>
          <w:rStyle w:val="Hyperlink"/>
          <w:sz w:val="20"/>
          <w:szCs w:val="20"/>
        </w:rPr>
      </w:pPr>
      <w:r>
        <w:rPr>
          <w:color w:val="000000" w:themeColor="text1"/>
          <w:sz w:val="20"/>
          <w:u w:val="single"/>
        </w:rPr>
        <w:t>Kopia dokumentu</w:t>
      </w:r>
      <w:r>
        <w:rPr>
          <w:color w:val="000000" w:themeColor="text1"/>
          <w:sz w:val="20"/>
          <w:u w:val="single"/>
        </w:rPr>
        <w:br/>
      </w:r>
      <w:r>
        <w:rPr>
          <w:sz w:val="20"/>
        </w:rPr>
        <w:t>a1kommunikation Schweizer GmbH, Rüdiger KEMPA,</w:t>
      </w:r>
      <w:r>
        <w:rPr>
          <w:sz w:val="20"/>
        </w:rPr>
        <w:br/>
      </w:r>
      <w:hyperlink r:id="rId14" w:history="1">
        <w:r>
          <w:rPr>
            <w:rStyle w:val="Hyperlink"/>
            <w:sz w:val="20"/>
          </w:rPr>
          <w:t>rke@a1kommunikation.de</w:t>
        </w:r>
      </w:hyperlink>
    </w:p>
    <w:p w14:paraId="4F4C2E15" w14:textId="77777777" w:rsidR="00AB5823" w:rsidRPr="00C52F19" w:rsidRDefault="00AB5823" w:rsidP="00AB5823">
      <w:pPr>
        <w:spacing w:before="40" w:after="40" w:line="240" w:lineRule="auto"/>
        <w:rPr>
          <w:color w:val="0563C1" w:themeColor="hyperlink"/>
          <w:sz w:val="20"/>
          <w:szCs w:val="20"/>
          <w:u w:val="single"/>
        </w:rPr>
      </w:pPr>
      <w:r>
        <w:rPr>
          <w:sz w:val="20"/>
        </w:rPr>
        <w:t>Oberdorfstraße 31A, 70794 Filderstadt, Niemcy</w:t>
      </w:r>
    </w:p>
    <w:p w14:paraId="3890CA60" w14:textId="77777777" w:rsidR="00AB5823" w:rsidRDefault="00AB5823" w:rsidP="00AB5823">
      <w:pPr>
        <w:jc w:val="both"/>
        <w:rPr>
          <w:sz w:val="16"/>
          <w:szCs w:val="16"/>
        </w:rPr>
      </w:pPr>
    </w:p>
    <w:p w14:paraId="25B08A30" w14:textId="77777777" w:rsidR="00AB5823" w:rsidRPr="00604BFB" w:rsidRDefault="00AB5823" w:rsidP="00AB5823">
      <w:pPr>
        <w:jc w:val="both"/>
        <w:rPr>
          <w:sz w:val="16"/>
          <w:szCs w:val="16"/>
        </w:rPr>
      </w:pPr>
      <w:r>
        <w:rPr>
          <w:sz w:val="16"/>
        </w:rPr>
        <w:t xml:space="preserve">Jeżeli nie chcesz otrzymywać informacji prasowych od firmy Fronius International GmbH, jednostka biznesowa Solar Energy, wyślij słowo UNSUBSCRIBE na adres e-mail </w:t>
      </w:r>
      <w:hyperlink r:id="rId15" w:history="1">
        <w:r>
          <w:rPr>
            <w:rStyle w:val="Hyperlink"/>
            <w:sz w:val="16"/>
          </w:rPr>
          <w:t>cancellation@fronius.com</w:t>
        </w:r>
      </w:hyperlink>
      <w:r>
        <w:rPr>
          <w:sz w:val="16"/>
        </w:rPr>
        <w:t>.</w:t>
      </w:r>
    </w:p>
    <w:p w14:paraId="00B20797" w14:textId="77777777" w:rsidR="00AB5823" w:rsidRPr="00330742" w:rsidRDefault="00AB5823" w:rsidP="00AB5823">
      <w:pPr>
        <w:pStyle w:val="berschrift4"/>
        <w:jc w:val="both"/>
        <w:rPr>
          <w:sz w:val="16"/>
          <w:szCs w:val="16"/>
        </w:rPr>
      </w:pPr>
    </w:p>
    <w:p w14:paraId="48D9EF84" w14:textId="77777777" w:rsidR="00AB5823" w:rsidRPr="00604BFB" w:rsidRDefault="00AB5823" w:rsidP="00AB5823">
      <w:pPr>
        <w:pStyle w:val="berschrift4"/>
        <w:jc w:val="both"/>
        <w:rPr>
          <w:sz w:val="16"/>
          <w:szCs w:val="16"/>
        </w:rPr>
      </w:pPr>
    </w:p>
    <w:p w14:paraId="6BC6759D" w14:textId="77777777" w:rsidR="00AB5823" w:rsidRPr="003D12AD" w:rsidRDefault="00AB5823" w:rsidP="00AB5823">
      <w:pPr>
        <w:pStyle w:val="berschrift4"/>
        <w:jc w:val="both"/>
        <w:rPr>
          <w:sz w:val="16"/>
          <w:szCs w:val="16"/>
          <w:lang w:val="de-AT"/>
        </w:rPr>
      </w:pPr>
    </w:p>
    <w:p w14:paraId="379B0B76" w14:textId="77777777" w:rsidR="00AB5823" w:rsidRPr="007B5F2C" w:rsidRDefault="00AB5823" w:rsidP="00AB5823">
      <w:pPr>
        <w:pStyle w:val="berschrift4"/>
        <w:jc w:val="both"/>
        <w:rPr>
          <w:sz w:val="16"/>
          <w:szCs w:val="16"/>
          <w:lang w:val="de-AT"/>
        </w:rPr>
      </w:pPr>
    </w:p>
    <w:p w14:paraId="790215F6" w14:textId="062CA635" w:rsidR="00670F02" w:rsidRPr="00604BFB" w:rsidRDefault="00670F02" w:rsidP="00AB5823">
      <w:pPr>
        <w:pStyle w:val="berschrift4"/>
        <w:jc w:val="both"/>
        <w:rPr>
          <w:sz w:val="16"/>
          <w:szCs w:val="16"/>
        </w:rPr>
      </w:pPr>
    </w:p>
    <w:sectPr w:rsidR="00670F02" w:rsidRPr="00604BF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2ACD" w14:textId="77777777" w:rsidR="00FA7693" w:rsidRDefault="00FA7693" w:rsidP="00B54547">
      <w:pPr>
        <w:spacing w:after="0" w:line="240" w:lineRule="auto"/>
      </w:pPr>
      <w:r>
        <w:separator/>
      </w:r>
    </w:p>
  </w:endnote>
  <w:endnote w:type="continuationSeparator" w:id="0">
    <w:p w14:paraId="7AB66B0B" w14:textId="77777777" w:rsidR="00FA7693" w:rsidRDefault="00FA7693"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Klasa informacji: publiczna</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Klasa informacji: publiczna</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D600" w14:textId="77777777" w:rsidR="00FA7693" w:rsidRDefault="00FA7693" w:rsidP="00B54547">
      <w:pPr>
        <w:spacing w:after="0" w:line="240" w:lineRule="auto"/>
      </w:pPr>
      <w:r>
        <w:separator/>
      </w:r>
    </w:p>
  </w:footnote>
  <w:footnote w:type="continuationSeparator" w:id="0">
    <w:p w14:paraId="45D7E4C7" w14:textId="77777777" w:rsidR="00FA7693" w:rsidRDefault="00FA7693"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981C38"/>
    <w:multiLevelType w:val="hybridMultilevel"/>
    <w:tmpl w:val="80D4ED9E"/>
    <w:lvl w:ilvl="0" w:tplc="75CEDE8E">
      <w:start w:val="1"/>
      <w:numFmt w:val="bullet"/>
      <w:lvlText w:val=""/>
      <w:lvlJc w:val="left"/>
      <w:pPr>
        <w:tabs>
          <w:tab w:val="num" w:pos="720"/>
        </w:tabs>
        <w:ind w:left="720" w:hanging="360"/>
      </w:pPr>
      <w:rPr>
        <w:rFonts w:ascii="Symbol" w:hAnsi="Symbol" w:hint="default"/>
      </w:rPr>
    </w:lvl>
    <w:lvl w:ilvl="1" w:tplc="8954EDAA" w:tentative="1">
      <w:start w:val="1"/>
      <w:numFmt w:val="bullet"/>
      <w:lvlText w:val=""/>
      <w:lvlJc w:val="left"/>
      <w:pPr>
        <w:tabs>
          <w:tab w:val="num" w:pos="1440"/>
        </w:tabs>
        <w:ind w:left="1440" w:hanging="360"/>
      </w:pPr>
      <w:rPr>
        <w:rFonts w:ascii="Symbol" w:hAnsi="Symbol" w:hint="default"/>
      </w:rPr>
    </w:lvl>
    <w:lvl w:ilvl="2" w:tplc="132CEFB6" w:tentative="1">
      <w:start w:val="1"/>
      <w:numFmt w:val="bullet"/>
      <w:lvlText w:val=""/>
      <w:lvlJc w:val="left"/>
      <w:pPr>
        <w:tabs>
          <w:tab w:val="num" w:pos="2160"/>
        </w:tabs>
        <w:ind w:left="2160" w:hanging="360"/>
      </w:pPr>
      <w:rPr>
        <w:rFonts w:ascii="Symbol" w:hAnsi="Symbol" w:hint="default"/>
      </w:rPr>
    </w:lvl>
    <w:lvl w:ilvl="3" w:tplc="D5A01536" w:tentative="1">
      <w:start w:val="1"/>
      <w:numFmt w:val="bullet"/>
      <w:lvlText w:val=""/>
      <w:lvlJc w:val="left"/>
      <w:pPr>
        <w:tabs>
          <w:tab w:val="num" w:pos="2880"/>
        </w:tabs>
        <w:ind w:left="2880" w:hanging="360"/>
      </w:pPr>
      <w:rPr>
        <w:rFonts w:ascii="Symbol" w:hAnsi="Symbol" w:hint="default"/>
      </w:rPr>
    </w:lvl>
    <w:lvl w:ilvl="4" w:tplc="0196451E" w:tentative="1">
      <w:start w:val="1"/>
      <w:numFmt w:val="bullet"/>
      <w:lvlText w:val=""/>
      <w:lvlJc w:val="left"/>
      <w:pPr>
        <w:tabs>
          <w:tab w:val="num" w:pos="3600"/>
        </w:tabs>
        <w:ind w:left="3600" w:hanging="360"/>
      </w:pPr>
      <w:rPr>
        <w:rFonts w:ascii="Symbol" w:hAnsi="Symbol" w:hint="default"/>
      </w:rPr>
    </w:lvl>
    <w:lvl w:ilvl="5" w:tplc="193ECC96" w:tentative="1">
      <w:start w:val="1"/>
      <w:numFmt w:val="bullet"/>
      <w:lvlText w:val=""/>
      <w:lvlJc w:val="left"/>
      <w:pPr>
        <w:tabs>
          <w:tab w:val="num" w:pos="4320"/>
        </w:tabs>
        <w:ind w:left="4320" w:hanging="360"/>
      </w:pPr>
      <w:rPr>
        <w:rFonts w:ascii="Symbol" w:hAnsi="Symbol" w:hint="default"/>
      </w:rPr>
    </w:lvl>
    <w:lvl w:ilvl="6" w:tplc="4E56BC6A" w:tentative="1">
      <w:start w:val="1"/>
      <w:numFmt w:val="bullet"/>
      <w:lvlText w:val=""/>
      <w:lvlJc w:val="left"/>
      <w:pPr>
        <w:tabs>
          <w:tab w:val="num" w:pos="5040"/>
        </w:tabs>
        <w:ind w:left="5040" w:hanging="360"/>
      </w:pPr>
      <w:rPr>
        <w:rFonts w:ascii="Symbol" w:hAnsi="Symbol" w:hint="default"/>
      </w:rPr>
    </w:lvl>
    <w:lvl w:ilvl="7" w:tplc="A4DAEFF2" w:tentative="1">
      <w:start w:val="1"/>
      <w:numFmt w:val="bullet"/>
      <w:lvlText w:val=""/>
      <w:lvlJc w:val="left"/>
      <w:pPr>
        <w:tabs>
          <w:tab w:val="num" w:pos="5760"/>
        </w:tabs>
        <w:ind w:left="5760" w:hanging="360"/>
      </w:pPr>
      <w:rPr>
        <w:rFonts w:ascii="Symbol" w:hAnsi="Symbol" w:hint="default"/>
      </w:rPr>
    </w:lvl>
    <w:lvl w:ilvl="8" w:tplc="BFA6B3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6"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7"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8"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467D88"/>
    <w:multiLevelType w:val="hybridMultilevel"/>
    <w:tmpl w:val="09788638"/>
    <w:lvl w:ilvl="0" w:tplc="11D8132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44986809">
    <w:abstractNumId w:val="8"/>
  </w:num>
  <w:num w:numId="2" w16cid:durableId="20741609">
    <w:abstractNumId w:val="0"/>
  </w:num>
  <w:num w:numId="3" w16cid:durableId="1189872239">
    <w:abstractNumId w:val="5"/>
  </w:num>
  <w:num w:numId="4" w16cid:durableId="1547373761">
    <w:abstractNumId w:val="7"/>
  </w:num>
  <w:num w:numId="5" w16cid:durableId="2110468141">
    <w:abstractNumId w:val="6"/>
  </w:num>
  <w:num w:numId="6" w16cid:durableId="1034384457">
    <w:abstractNumId w:val="1"/>
  </w:num>
  <w:num w:numId="7" w16cid:durableId="191187278">
    <w:abstractNumId w:val="4"/>
  </w:num>
  <w:num w:numId="8" w16cid:durableId="986014788">
    <w:abstractNumId w:val="3"/>
  </w:num>
  <w:num w:numId="9" w16cid:durableId="1446076719">
    <w:abstractNumId w:val="9"/>
  </w:num>
  <w:num w:numId="10" w16cid:durableId="749304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4753E"/>
    <w:rsid w:val="00097CDA"/>
    <w:rsid w:val="000C153C"/>
    <w:rsid w:val="000C4025"/>
    <w:rsid w:val="000F3AB0"/>
    <w:rsid w:val="000F43CD"/>
    <w:rsid w:val="00102F0B"/>
    <w:rsid w:val="00105654"/>
    <w:rsid w:val="00141482"/>
    <w:rsid w:val="001426C7"/>
    <w:rsid w:val="0015188A"/>
    <w:rsid w:val="0015484D"/>
    <w:rsid w:val="001668E3"/>
    <w:rsid w:val="00196F99"/>
    <w:rsid w:val="001A34C4"/>
    <w:rsid w:val="001B4713"/>
    <w:rsid w:val="001C35F0"/>
    <w:rsid w:val="001D371F"/>
    <w:rsid w:val="00202BA1"/>
    <w:rsid w:val="00215DF9"/>
    <w:rsid w:val="00217EDE"/>
    <w:rsid w:val="0024308B"/>
    <w:rsid w:val="00243F1D"/>
    <w:rsid w:val="0026515D"/>
    <w:rsid w:val="00271D71"/>
    <w:rsid w:val="00282219"/>
    <w:rsid w:val="00291157"/>
    <w:rsid w:val="00297C29"/>
    <w:rsid w:val="002A045C"/>
    <w:rsid w:val="002B1BB2"/>
    <w:rsid w:val="002C13C3"/>
    <w:rsid w:val="002C6795"/>
    <w:rsid w:val="002D77D9"/>
    <w:rsid w:val="002D7A44"/>
    <w:rsid w:val="002E4785"/>
    <w:rsid w:val="002F207D"/>
    <w:rsid w:val="003168D4"/>
    <w:rsid w:val="00333E1E"/>
    <w:rsid w:val="003405C8"/>
    <w:rsid w:val="0036590E"/>
    <w:rsid w:val="0037528F"/>
    <w:rsid w:val="00387130"/>
    <w:rsid w:val="00393D8C"/>
    <w:rsid w:val="003A323F"/>
    <w:rsid w:val="003B30C9"/>
    <w:rsid w:val="003B6595"/>
    <w:rsid w:val="003E6855"/>
    <w:rsid w:val="003F20E0"/>
    <w:rsid w:val="00402AA3"/>
    <w:rsid w:val="00403C78"/>
    <w:rsid w:val="00416BA9"/>
    <w:rsid w:val="00417AE0"/>
    <w:rsid w:val="00424297"/>
    <w:rsid w:val="00435440"/>
    <w:rsid w:val="0044171E"/>
    <w:rsid w:val="004420B7"/>
    <w:rsid w:val="00446048"/>
    <w:rsid w:val="00451F65"/>
    <w:rsid w:val="00455012"/>
    <w:rsid w:val="00463159"/>
    <w:rsid w:val="00470A9D"/>
    <w:rsid w:val="004A1FC4"/>
    <w:rsid w:val="004B317B"/>
    <w:rsid w:val="004C1EF4"/>
    <w:rsid w:val="004D3344"/>
    <w:rsid w:val="004D569C"/>
    <w:rsid w:val="0051114E"/>
    <w:rsid w:val="00512C4C"/>
    <w:rsid w:val="00531A58"/>
    <w:rsid w:val="005351C3"/>
    <w:rsid w:val="00551A0C"/>
    <w:rsid w:val="00553440"/>
    <w:rsid w:val="00554093"/>
    <w:rsid w:val="00582BF5"/>
    <w:rsid w:val="005A26BF"/>
    <w:rsid w:val="005B6909"/>
    <w:rsid w:val="005C7E03"/>
    <w:rsid w:val="005D13F0"/>
    <w:rsid w:val="005D4BAD"/>
    <w:rsid w:val="00604BFB"/>
    <w:rsid w:val="00651247"/>
    <w:rsid w:val="00653250"/>
    <w:rsid w:val="0066069E"/>
    <w:rsid w:val="00670F02"/>
    <w:rsid w:val="006B7803"/>
    <w:rsid w:val="006B7BDF"/>
    <w:rsid w:val="006D2AEF"/>
    <w:rsid w:val="006D6430"/>
    <w:rsid w:val="00703F47"/>
    <w:rsid w:val="00711B3F"/>
    <w:rsid w:val="00715E72"/>
    <w:rsid w:val="00723F58"/>
    <w:rsid w:val="00730C60"/>
    <w:rsid w:val="0074545E"/>
    <w:rsid w:val="0075037C"/>
    <w:rsid w:val="0076766D"/>
    <w:rsid w:val="0077772D"/>
    <w:rsid w:val="00777CF3"/>
    <w:rsid w:val="007931DE"/>
    <w:rsid w:val="007A4563"/>
    <w:rsid w:val="007A57E3"/>
    <w:rsid w:val="007C0A19"/>
    <w:rsid w:val="007C61B7"/>
    <w:rsid w:val="00816914"/>
    <w:rsid w:val="00831633"/>
    <w:rsid w:val="008404EE"/>
    <w:rsid w:val="008776F2"/>
    <w:rsid w:val="00895E82"/>
    <w:rsid w:val="008B53CF"/>
    <w:rsid w:val="008C5190"/>
    <w:rsid w:val="008D1D7A"/>
    <w:rsid w:val="008D7983"/>
    <w:rsid w:val="008E1774"/>
    <w:rsid w:val="008F4ED5"/>
    <w:rsid w:val="00906679"/>
    <w:rsid w:val="00924D89"/>
    <w:rsid w:val="00952A20"/>
    <w:rsid w:val="00962B6D"/>
    <w:rsid w:val="00963BB4"/>
    <w:rsid w:val="00971EAE"/>
    <w:rsid w:val="00975EE6"/>
    <w:rsid w:val="009A3D25"/>
    <w:rsid w:val="009B0617"/>
    <w:rsid w:val="009C1A10"/>
    <w:rsid w:val="009D10E8"/>
    <w:rsid w:val="009D65BD"/>
    <w:rsid w:val="009F7BDF"/>
    <w:rsid w:val="00A43962"/>
    <w:rsid w:val="00A52F69"/>
    <w:rsid w:val="00A66F74"/>
    <w:rsid w:val="00A94F59"/>
    <w:rsid w:val="00AA55B7"/>
    <w:rsid w:val="00AB5823"/>
    <w:rsid w:val="00AE7975"/>
    <w:rsid w:val="00B15E79"/>
    <w:rsid w:val="00B25C3B"/>
    <w:rsid w:val="00B27A62"/>
    <w:rsid w:val="00B30440"/>
    <w:rsid w:val="00B309A8"/>
    <w:rsid w:val="00B46B7B"/>
    <w:rsid w:val="00B52F2E"/>
    <w:rsid w:val="00B54547"/>
    <w:rsid w:val="00B66863"/>
    <w:rsid w:val="00B8257D"/>
    <w:rsid w:val="00B844EA"/>
    <w:rsid w:val="00BA207D"/>
    <w:rsid w:val="00BB44BD"/>
    <w:rsid w:val="00BB6194"/>
    <w:rsid w:val="00BB7A53"/>
    <w:rsid w:val="00C17BEE"/>
    <w:rsid w:val="00C34C3C"/>
    <w:rsid w:val="00C41F80"/>
    <w:rsid w:val="00C44B9C"/>
    <w:rsid w:val="00C85609"/>
    <w:rsid w:val="00C921A2"/>
    <w:rsid w:val="00CA56AD"/>
    <w:rsid w:val="00CB1448"/>
    <w:rsid w:val="00CC0612"/>
    <w:rsid w:val="00CC19C7"/>
    <w:rsid w:val="00CD1289"/>
    <w:rsid w:val="00CD52E4"/>
    <w:rsid w:val="00CE23FA"/>
    <w:rsid w:val="00CF63C4"/>
    <w:rsid w:val="00D018C9"/>
    <w:rsid w:val="00D0522E"/>
    <w:rsid w:val="00D338CA"/>
    <w:rsid w:val="00D41F94"/>
    <w:rsid w:val="00D61309"/>
    <w:rsid w:val="00D73688"/>
    <w:rsid w:val="00D7549F"/>
    <w:rsid w:val="00D77E57"/>
    <w:rsid w:val="00D81F9F"/>
    <w:rsid w:val="00D87B52"/>
    <w:rsid w:val="00DA2ED8"/>
    <w:rsid w:val="00DA790D"/>
    <w:rsid w:val="00DB4CF3"/>
    <w:rsid w:val="00DB5B9B"/>
    <w:rsid w:val="00DD0DC8"/>
    <w:rsid w:val="00DE201A"/>
    <w:rsid w:val="00DE620B"/>
    <w:rsid w:val="00DF3E49"/>
    <w:rsid w:val="00DF5290"/>
    <w:rsid w:val="00E6041A"/>
    <w:rsid w:val="00E83DD7"/>
    <w:rsid w:val="00E9591C"/>
    <w:rsid w:val="00EA26EC"/>
    <w:rsid w:val="00EB1D30"/>
    <w:rsid w:val="00EC5B3C"/>
    <w:rsid w:val="00EC6E68"/>
    <w:rsid w:val="00EC7CC5"/>
    <w:rsid w:val="00ED5549"/>
    <w:rsid w:val="00EE35FD"/>
    <w:rsid w:val="00EE6046"/>
    <w:rsid w:val="00EF2A76"/>
    <w:rsid w:val="00EF6255"/>
    <w:rsid w:val="00F01996"/>
    <w:rsid w:val="00F213F0"/>
    <w:rsid w:val="00F4277F"/>
    <w:rsid w:val="00F46CE2"/>
    <w:rsid w:val="00F63742"/>
    <w:rsid w:val="00FA7693"/>
    <w:rsid w:val="00FD0EE7"/>
    <w:rsid w:val="00FD50E0"/>
    <w:rsid w:val="00FE3F42"/>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pl-PL"/>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pl-PL"/>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styleId="Kommentarzeichen">
    <w:name w:val="annotation reference"/>
    <w:basedOn w:val="Absatz-Standardschriftart"/>
    <w:uiPriority w:val="99"/>
    <w:semiHidden/>
    <w:unhideWhenUsed/>
    <w:rsid w:val="000C4025"/>
    <w:rPr>
      <w:sz w:val="16"/>
      <w:szCs w:val="16"/>
    </w:rPr>
  </w:style>
  <w:style w:type="paragraph" w:styleId="Kommentartext">
    <w:name w:val="annotation text"/>
    <w:basedOn w:val="Standard"/>
    <w:link w:val="KommentartextZchn"/>
    <w:uiPriority w:val="99"/>
    <w:unhideWhenUsed/>
    <w:rsid w:val="000C4025"/>
    <w:pPr>
      <w:spacing w:line="240" w:lineRule="auto"/>
    </w:pPr>
    <w:rPr>
      <w:sz w:val="20"/>
      <w:szCs w:val="20"/>
    </w:rPr>
  </w:style>
  <w:style w:type="character" w:customStyle="1" w:styleId="KommentartextZchn">
    <w:name w:val="Kommentartext Zchn"/>
    <w:basedOn w:val="Absatz-Standardschriftart"/>
    <w:link w:val="Kommentartext"/>
    <w:uiPriority w:val="99"/>
    <w:rsid w:val="000C4025"/>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0C4025"/>
    <w:rPr>
      <w:b/>
      <w:bCs/>
    </w:rPr>
  </w:style>
  <w:style w:type="character" w:customStyle="1" w:styleId="KommentarthemaZchn">
    <w:name w:val="Kommentarthema Zchn"/>
    <w:basedOn w:val="KommentartextZchn"/>
    <w:link w:val="Kommentarthema"/>
    <w:uiPriority w:val="99"/>
    <w:semiHidden/>
    <w:rsid w:val="000C4025"/>
    <w:rPr>
      <w:rFonts w:ascii="Noto Sans" w:hAnsi="Noto Sans"/>
      <w:b/>
      <w:bCs/>
      <w:sz w:val="20"/>
      <w:szCs w:val="20"/>
    </w:rPr>
  </w:style>
  <w:style w:type="character" w:customStyle="1" w:styleId="cf01">
    <w:name w:val="cf01"/>
    <w:basedOn w:val="Absatz-Standardschriftart"/>
    <w:rsid w:val="009A3D25"/>
    <w:rPr>
      <w:rFonts w:ascii="Segoe UI" w:hAnsi="Segoe UI" w:cs="Segoe UI" w:hint="default"/>
      <w:sz w:val="18"/>
      <w:szCs w:val="18"/>
    </w:rPr>
  </w:style>
  <w:style w:type="paragraph" w:styleId="berarbeitung">
    <w:name w:val="Revision"/>
    <w:hidden/>
    <w:uiPriority w:val="99"/>
    <w:semiHidden/>
    <w:rsid w:val="00EE6046"/>
    <w:pPr>
      <w:spacing w:after="0" w:line="240" w:lineRule="auto"/>
    </w:pPr>
    <w:rPr>
      <w:rFonts w:ascii="Noto Sans" w:hAnsi="Noto Sans"/>
    </w:rPr>
  </w:style>
  <w:style w:type="character" w:styleId="BesuchterLink">
    <w:name w:val="FollowedHyperlink"/>
    <w:basedOn w:val="Absatz-Standardschriftart"/>
    <w:uiPriority w:val="99"/>
    <w:semiHidden/>
    <w:unhideWhenUsed/>
    <w:rsid w:val="00553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7141">
      <w:bodyDiv w:val="1"/>
      <w:marLeft w:val="0"/>
      <w:marRight w:val="0"/>
      <w:marTop w:val="0"/>
      <w:marBottom w:val="0"/>
      <w:divBdr>
        <w:top w:val="none" w:sz="0" w:space="0" w:color="auto"/>
        <w:left w:val="none" w:sz="0" w:space="0" w:color="auto"/>
        <w:bottom w:val="none" w:sz="0" w:space="0" w:color="auto"/>
        <w:right w:val="none" w:sz="0" w:space="0" w:color="auto"/>
      </w:divBdr>
    </w:div>
    <w:div w:id="966012536">
      <w:bodyDiv w:val="1"/>
      <w:marLeft w:val="0"/>
      <w:marRight w:val="0"/>
      <w:marTop w:val="0"/>
      <w:marBottom w:val="0"/>
      <w:divBdr>
        <w:top w:val="none" w:sz="0" w:space="0" w:color="auto"/>
        <w:left w:val="none" w:sz="0" w:space="0" w:color="auto"/>
        <w:bottom w:val="none" w:sz="0" w:space="0" w:color="auto"/>
        <w:right w:val="none" w:sz="0" w:space="0" w:color="auto"/>
      </w:divBdr>
    </w:div>
    <w:div w:id="1025907157">
      <w:bodyDiv w:val="1"/>
      <w:marLeft w:val="0"/>
      <w:marRight w:val="0"/>
      <w:marTop w:val="0"/>
      <w:marBottom w:val="0"/>
      <w:divBdr>
        <w:top w:val="none" w:sz="0" w:space="0" w:color="auto"/>
        <w:left w:val="none" w:sz="0" w:space="0" w:color="auto"/>
        <w:bottom w:val="none" w:sz="0" w:space="0" w:color="auto"/>
        <w:right w:val="none" w:sz="0" w:space="0" w:color="auto"/>
      </w:divBdr>
      <w:divsChild>
        <w:div w:id="681905631">
          <w:marLeft w:val="360"/>
          <w:marRight w:val="0"/>
          <w:marTop w:val="200"/>
          <w:marBottom w:val="0"/>
          <w:divBdr>
            <w:top w:val="none" w:sz="0" w:space="0" w:color="auto"/>
            <w:left w:val="none" w:sz="0" w:space="0" w:color="auto"/>
            <w:bottom w:val="none" w:sz="0" w:space="0" w:color="auto"/>
            <w:right w:val="none" w:sz="0" w:space="0" w:color="auto"/>
          </w:divBdr>
        </w:div>
        <w:div w:id="41947937">
          <w:marLeft w:val="360"/>
          <w:marRight w:val="0"/>
          <w:marTop w:val="200"/>
          <w:marBottom w:val="0"/>
          <w:divBdr>
            <w:top w:val="none" w:sz="0" w:space="0" w:color="auto"/>
            <w:left w:val="none" w:sz="0" w:space="0" w:color="auto"/>
            <w:bottom w:val="none" w:sz="0" w:space="0" w:color="auto"/>
            <w:right w:val="none" w:sz="0" w:space="0" w:color="auto"/>
          </w:divBdr>
        </w:div>
        <w:div w:id="287127600">
          <w:marLeft w:val="360"/>
          <w:marRight w:val="0"/>
          <w:marTop w:val="200"/>
          <w:marBottom w:val="0"/>
          <w:divBdr>
            <w:top w:val="none" w:sz="0" w:space="0" w:color="auto"/>
            <w:left w:val="none" w:sz="0" w:space="0" w:color="auto"/>
            <w:bottom w:val="none" w:sz="0" w:space="0" w:color="auto"/>
            <w:right w:val="none" w:sz="0" w:space="0" w:color="auto"/>
          </w:divBdr>
        </w:div>
        <w:div w:id="683938180">
          <w:marLeft w:val="360"/>
          <w:marRight w:val="0"/>
          <w:marTop w:val="200"/>
          <w:marBottom w:val="0"/>
          <w:divBdr>
            <w:top w:val="none" w:sz="0" w:space="0" w:color="auto"/>
            <w:left w:val="none" w:sz="0" w:space="0" w:color="auto"/>
            <w:bottom w:val="none" w:sz="0" w:space="0" w:color="auto"/>
            <w:right w:val="none" w:sz="0" w:space="0" w:color="auto"/>
          </w:divBdr>
        </w:div>
        <w:div w:id="2023701524">
          <w:marLeft w:val="360"/>
          <w:marRight w:val="0"/>
          <w:marTop w:val="200"/>
          <w:marBottom w:val="0"/>
          <w:divBdr>
            <w:top w:val="none" w:sz="0" w:space="0" w:color="auto"/>
            <w:left w:val="none" w:sz="0" w:space="0" w:color="auto"/>
            <w:bottom w:val="none" w:sz="0" w:space="0" w:color="auto"/>
            <w:right w:val="none" w:sz="0" w:space="0" w:color="auto"/>
          </w:divBdr>
        </w:div>
        <w:div w:id="554897324">
          <w:marLeft w:val="360"/>
          <w:marRight w:val="0"/>
          <w:marTop w:val="200"/>
          <w:marBottom w:val="0"/>
          <w:divBdr>
            <w:top w:val="none" w:sz="0" w:space="0" w:color="auto"/>
            <w:left w:val="none" w:sz="0" w:space="0" w:color="auto"/>
            <w:bottom w:val="none" w:sz="0" w:space="0" w:color="auto"/>
            <w:right w:val="none" w:sz="0" w:space="0" w:color="auto"/>
          </w:divBdr>
        </w:div>
      </w:divsChild>
    </w:div>
    <w:div w:id="2047638787">
      <w:bodyDiv w:val="1"/>
      <w:marLeft w:val="0"/>
      <w:marRight w:val="0"/>
      <w:marTop w:val="0"/>
      <w:marBottom w:val="0"/>
      <w:divBdr>
        <w:top w:val="none" w:sz="0" w:space="0" w:color="auto"/>
        <w:left w:val="none" w:sz="0" w:space="0" w:color="auto"/>
        <w:bottom w:val="none" w:sz="0" w:space="0" w:color="auto"/>
        <w:right w:val="none" w:sz="0" w:space="0" w:color="auto"/>
      </w:divBdr>
    </w:div>
    <w:div w:id="20733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ulenda.agnieszka@fronius.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solar.htw-berlin.de/studien/stromspeicher-inspektion-2023/" TargetMode="External"/><Relationship Id="rId12" Type="http://schemas.openxmlformats.org/officeDocument/2006/relationships/hyperlink" Target="mailto:schartner.andrea@froniu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hyperlink" Target="mailto:cancellation@fronius.com" TargetMode="Externa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ke@a1kommunikation.de"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Energy storage inspection 2023/02</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Energy storage inspection 2023/02</title_TI_DA>
    <Web_x0020_Display_x0020_Title_x0020_ET xmlns="dc0c2c3d-e9fc-4a0d-820b-87ab82e65f20">Energy storage inspection 2023/02</Web_x0020_Display_x0020_Title_x0020_ET>
    <title_ti_fi xmlns="dc0c2c3d-e9fc-4a0d-820b-87ab82e65f20">Energy storage inspection 2023/02</title_ti_fi>
    <Documenttype_JP xmlns="dc0c2c3d-e9fc-4a0d-820b-87ab82e65f20">Press Release</Documenttype_JP>
    <title_TI_TR xmlns="dc0c2c3d-e9fc-4a0d-820b-87ab82e65f20">Energy storage inspection 2023/02</title_TI_TR>
    <countryok xmlns="dc0c2c3d-e9fc-4a0d-820b-87ab82e65f20">true</countryok>
    <Documenttype_ES xmlns="dc0c2c3d-e9fc-4a0d-820b-87ab82e65f20">Información de prensa</Documenttype_ES>
    <title_ti_nb xmlns="dc0c2c3d-e9fc-4a0d-820b-87ab82e65f20" xsi:nil="true"/>
    <title_TI_ES xmlns="dc0c2c3d-e9fc-4a0d-820b-87ab82e65f20">Energy storage inspection 2023/02</title_TI_ES>
    <Documenttype_TR xmlns="dc0c2c3d-e9fc-4a0d-820b-87ab82e65f20">Basın bülteni</Documenttype_TR>
    <VersionInternal xmlns="dc0c2c3d-e9fc-4a0d-820b-87ab82e65f20" xsi:nil="true"/>
    <TaxCatchAll xmlns="92f60987-cbcc-4245-baaf-239af3bfd6e8">
      <Value>1</Value>
      <Value>258</Value>
    </TaxCatchAll>
    <Resolution xmlns="dc0c2c3d-e9fc-4a0d-820b-87ab82e65f20" xsi:nil="true"/>
    <Country xmlns="dc0c2c3d-e9fc-4a0d-820b-87ab82e65f20">
      <Value>31</Value>
    </Country>
    <title_TI_DE xmlns="dc0c2c3d-e9fc-4a0d-820b-87ab82e65f20">Stromspeicherinspektion 2023/02</title_TI_DE>
    <title_TI_HU xmlns="dc0c2c3d-e9fc-4a0d-820b-87ab82e65f20">Energy storage inspection 2023/02</title_TI_HU>
    <AGB xmlns="dc0c2c3d-e9fc-4a0d-820b-87ab82e65f20">false</AGB>
    <MRMKeyWords xmlns="dc0c2c3d-e9fc-4a0d-820b-87ab82e65f20">#presse#press#solarenergy#solarenergy#symo#primo#presseaussendung#pressrelease#fronius#unternehmen#company#gen24#gen24plus#gen24plus#stromspeicherinspektion#gewinner</MRMKeyWords>
    <Documenttype_TH xmlns="dc0c2c3d-e9fc-4a0d-820b-87ab82e65f20">ข่าวประชาสัมพันธ์</Documenttype_TH>
    <Documenttype_NL xmlns="dc0c2c3d-e9fc-4a0d-820b-87ab82e65f20">Persbericht</Documenttype_NL>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e387e492-5c5c-46b1-8f24-94df37df350f</TermId>
        </TermInfo>
      </Terms>
    </kf02bcb85e834895bd30a86f7c59478d>
    <fro_spid xmlns="dc0c2c3d-e9fc-4a0d-820b-87ab82e65f20">9260;SE</fro_spid>
    <Colour_x0020_space xmlns="dc0c2c3d-e9fc-4a0d-820b-87ab82e65f20" xsi:nil="true"/>
    <title_TI_EA xmlns="dc0c2c3d-e9fc-4a0d-820b-87ab82e65f20">Energy storage inspection 2023/02</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Energy storage inspection 2023/02</title_TI_SK>
    <Documenttype_AR xmlns="dc0c2c3d-e9fc-4a0d-820b-87ab82e65f20">Press Release</Documenttype_AR>
    <Update xmlns="dc0c2c3d-e9fc-4a0d-820b-87ab82e65f20" xsi:nil="true"/>
    <Documenttype_SV xmlns="dc0c2c3d-e9fc-4a0d-820b-87ab82e65f20">Pressmeddelande</Documenttype_SV>
    <title_TI_IT xmlns="dc0c2c3d-e9fc-4a0d-820b-87ab82e65f20">Energy storage inspection 2023/02</title_TI_IT>
    <title_ti_zh xmlns="dc0c2c3d-e9fc-4a0d-820b-87ab82e65f20">Energy storage inspection 2023/02</title_ti_zh>
    <Division xmlns="dc0c2c3d-e9fc-4a0d-820b-87ab82e65f20">Solar Energy</Division>
    <title_TI_UA xmlns="dc0c2c3d-e9fc-4a0d-820b-87ab82e65f20">Energy storage inspection 2023/02</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Permission xmlns="dc0c2c3d-e9fc-4a0d-820b-87ab82e65f20">Public</Permission>
    <title_TI_FR xmlns="dc0c2c3d-e9fc-4a0d-820b-87ab82e65f20">Energy storage inspection 2023/02</title_TI_FR>
    <MRMID xmlns="dc0c2c3d-e9fc-4a0d-820b-87ab82e65f20">M-200498</MRMID>
    <title_TI_CS xmlns="dc0c2c3d-e9fc-4a0d-820b-87ab82e65f20">Energy storage inspection 2023/02</title_TI_CS>
    <Documenttype_FR xmlns="dc0c2c3d-e9fc-4a0d-820b-87ab82e65f20">Communiqué de presse</Documenttype_FR>
    <FileMaster xmlns="dc0c2c3d-e9fc-4a0d-820b-87ab82e65f20">M-199981</FileMaster>
    <icfaae38c4274413b390559439863f3e xmlns="dc0c2c3d-e9fc-4a0d-820b-87ab82e65f20">
      <Terms xmlns="http://schemas.microsoft.com/office/infopath/2007/PartnerControls"/>
    </icfaae38c4274413b390559439863f3e>
    <Documenttype_EN xmlns="dc0c2c3d-e9fc-4a0d-820b-87ab82e65f20">Press Release</Documenttype_EN>
    <title_TI_NL xmlns="dc0c2c3d-e9fc-4a0d-820b-87ab82e65f20">Energy storage inspection 2023/02</title_TI_NL>
    <title_TI_PL xmlns="dc0c2c3d-e9fc-4a0d-820b-87ab82e65f20">Energy storage inspection 2023/02</title_TI_PL>
    <title_TI_TH xmlns="dc0c2c3d-e9fc-4a0d-820b-87ab82e65f20">Energy storage inspection 2023/02</title_TI_TH>
    <Documenttype_DA xmlns="dc0c2c3d-e9fc-4a0d-820b-87ab82e65f20">Presseinformationer</Documenttype_DA>
    <Documenttype_HU xmlns="dc0c2c3d-e9fc-4a0d-820b-87ab82e65f20">Sajtóinformáció</Documenttype_HU>
    <title_TI_JP xmlns="dc0c2c3d-e9fc-4a0d-820b-87ab82e65f20">Energy storage inspection 2023/02</title_TI_JP>
    <Documenttype_FI xmlns="dc0c2c3d-e9fc-4a0d-820b-87ab82e65f20">Lehdistötiedote</Documenttype_FI>
    <title_TI_RU xmlns="dc0c2c3d-e9fc-4a0d-820b-87ab82e65f20">Energy storage inspection 2023/02</title_TI_RU>
    <Documenttype_PL xmlns="dc0c2c3d-e9fc-4a0d-820b-87ab82e65f20">Informacja prasowe</Documenttype_PL>
    <Licence_x0020_information xmlns="dc0c2c3d-e9fc-4a0d-820b-87ab82e65f20">(c) Fronius International</Licence_x0020_information>
    <Documenttype_UK xmlns="c4543867-fb67-4424-a255-4d54d75e50e3">Прес-релізи</Documenttype_UK>
    <title_TI_NO xmlns="dc0c2c3d-e9fc-4a0d-820b-87ab82e65f20">Energy storage inspection 2023/02</title_TI_NO>
    <Documenttype_NB xmlns="c4543867-fb67-4424-a255-4d54d75e50e3">Presseinformasjon</Documenttype_NB>
    <l67a679918f5484e8f458468bb061236 xmlns="dc0c2c3d-e9fc-4a0d-820b-87ab82e65f20">
      <Terms xmlns="http://schemas.microsoft.com/office/infopath/2007/PartnerControls"/>
    </l67a679918f5484e8f458468bb061236>
    <title_TI_EL xmlns="dc0c2c3d-e9fc-4a0d-820b-87ab82e65f20">Energy storage inspection 2023/02</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Energy storage inspection 2023/02</title_TI_JA>
    <Documenttype_IT xmlns="dc0c2c3d-e9fc-4a0d-820b-87ab82e65f20">Comunicato stampa</Documenttype_IT>
    <Country_x0020_Quick_x0020_Select xmlns="dc0c2c3d-e9fc-4a0d-820b-87ab82e65f20">Select...</Country_x0020_Quick_x0020_Select>
    <title_TI_EN xmlns="dc0c2c3d-e9fc-4a0d-820b-87ab82e65f20">Energy storage inspection 2023/02</title_TI_EN>
    <title_TI_AR xmlns="dc0c2c3d-e9fc-4a0d-820b-87ab82e65f20">Energy storage inspection 2023/02</title_TI_AR>
    <title_TI_SV xmlns="dc0c2c3d-e9fc-4a0d-820b-87ab82e65f20">Energy storage inspection 2023/02</title_TI_SV>
    <Documenttype_CS xmlns="dc0c2c3d-e9fc-4a0d-820b-87ab82e65f20">Tisková zpráva</Documenttype_CS>
    <FroCountryExclusive xmlns="dc0c2c3d-e9fc-4a0d-820b-87ab82e65f20">No</FroCountryExclusive>
    <title_ti_uk xmlns="dc0c2c3d-e9fc-4a0d-820b-87ab82e65f20" xsi:nil="true"/>
    <TitelInternal xmlns="dc0c2c3d-e9fc-4a0d-820b-87ab82e65f20" xsi:nil="tru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16F74872-17C9-4716-AE88-638A91B9BD26}"/>
</file>

<file path=customXml/itemProps2.xml><?xml version="1.0" encoding="utf-8"?>
<ds:datastoreItem xmlns:ds="http://schemas.openxmlformats.org/officeDocument/2006/customXml" ds:itemID="{39C61A8D-2577-42D1-9AD0-8DAFFD8FD2F9}"/>
</file>

<file path=customXml/itemProps3.xml><?xml version="1.0" encoding="utf-8"?>
<ds:datastoreItem xmlns:ds="http://schemas.openxmlformats.org/officeDocument/2006/customXml" ds:itemID="{16ADEEBD-5A83-42C0-8CFE-D84C1E56A8DB}"/>
</file>

<file path=customXml/itemProps4.xml><?xml version="1.0" encoding="utf-8"?>
<ds:datastoreItem xmlns:ds="http://schemas.openxmlformats.org/officeDocument/2006/customXml" ds:itemID="{D7EC41A6-36BD-440A-A4F1-F636B631F76D}"/>
</file>

<file path=customXml/itemProps5.xml><?xml version="1.0" encoding="utf-8"?>
<ds:datastoreItem xmlns:ds="http://schemas.openxmlformats.org/officeDocument/2006/customXml" ds:itemID="{A5E2E7CB-62E5-470D-B9F3-1BE60C713A82}"/>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841</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SE_PR_Fronius_again_earns_top_rankings_2023_PL</dc:title>
  <dc:subject/>
  <dc:creator>Kneringer Daniel</dc:creator>
  <cp:keywords/>
  <dc:description/>
  <cp:lastModifiedBy>Majetic Kristina</cp:lastModifiedBy>
  <cp:revision>17</cp:revision>
  <cp:lastPrinted>2023-02-08T14:27:00Z</cp:lastPrinted>
  <dcterms:created xsi:type="dcterms:W3CDTF">2023-02-15T07:15:00Z</dcterms:created>
  <dcterms:modified xsi:type="dcterms:W3CDTF">2023-03-06T10:28:00Z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0x010100D81D3A5E066A7C4C894BF34B3C71E9830078818E860836564580539BE5C2186B8E</vt:lpwstr>
  </property>
  <property fmtid="{D5CDD505-2E9C-101B-9397-08002B2CF9AE}" pid="3" name="lb169c5bde7e4bcfadda4df6a11dcfbc">
    <vt:lpwstr>DE|676160ea-61f7-4cef-8b4c-1724dec2206e</vt:lpwstr>
  </property>
  <property fmtid="{D5CDD505-2E9C-101B-9397-08002B2CF9AE}" pid="4" name="FroConDoc_language">
    <vt:lpwstr>1;#DE|676160ea-61f7-4cef-8b4c-1724dec2206e</vt:lpwstr>
  </property>
  <property fmtid="{D5CDD505-2E9C-101B-9397-08002B2CF9AE}" pid="5" name="Service Levels TIM-RS">
    <vt:lpwstr/>
  </property>
  <property fmtid="{D5CDD505-2E9C-101B-9397-08002B2CF9AE}" pid="6" name="Products">
    <vt:lpwstr/>
  </property>
  <property fmtid="{D5CDD505-2E9C-101B-9397-08002B2CF9AE}" pid="7" name="Language">
    <vt:lpwstr>258;#PL|e387e492-5c5c-46b1-8f24-94df37df350f</vt:lpwstr>
  </property>
  <property fmtid="{D5CDD505-2E9C-101B-9397-08002B2CF9AE}" pid="8" name="o83eafb9fd8f4e0d935a1b8f7d26b594">
    <vt:lpwstr/>
  </property>
  <property fmtid="{D5CDD505-2E9C-101B-9397-08002B2CF9AE}" pid="9" name="fro_PartnerRoles">
    <vt:lpwstr/>
  </property>
  <property fmtid="{D5CDD505-2E9C-101B-9397-08002B2CF9AE}" pid="10" name="Market Segmentation">
    <vt:lpwstr/>
  </property>
  <property fmtid="{D5CDD505-2E9C-101B-9397-08002B2CF9AE}" pid="11" name="db07a75696b94569b570813d345bcf82">
    <vt:lpwstr/>
  </property>
</Properties>
</file>