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B1" w:rsidRPr="001269BB" w:rsidRDefault="000B4B88" w:rsidP="000875B1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  <w:sectPr w:rsidR="000875B1" w:rsidRPr="001269BB" w:rsidSect="000875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4D1A5C" w:rsidRPr="001269BB" w:rsidRDefault="004D1A5C" w:rsidP="004D1A5C">
      <w:pPr>
        <w:pStyle w:val="berschrift1"/>
        <w:rPr>
          <w:lang w:val="de-CH"/>
        </w:rPr>
      </w:pPr>
      <w:r w:rsidRPr="001269BB">
        <w:rPr>
          <w:lang w:val="de-CH"/>
        </w:rPr>
        <w:t>PRESSEINFORMATION</w:t>
      </w:r>
    </w:p>
    <w:p w:rsidR="000875B1" w:rsidRPr="001269BB" w:rsidRDefault="000B4B88" w:rsidP="000875B1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</w:pPr>
    </w:p>
    <w:p w:rsidR="004D1A5C" w:rsidRPr="001269BB" w:rsidRDefault="00A62A2C" w:rsidP="004D1A5C">
      <w:pPr>
        <w:pStyle w:val="berschrift3"/>
        <w:rPr>
          <w:b w:val="0"/>
          <w:lang w:val="de-CH"/>
        </w:rPr>
      </w:pPr>
      <w:r w:rsidRPr="001269BB">
        <w:rPr>
          <w:b w:val="0"/>
          <w:lang w:val="de-CH"/>
        </w:rPr>
        <w:t>Froni</w:t>
      </w:r>
      <w:r w:rsidR="00285B3B" w:rsidRPr="001269BB">
        <w:rPr>
          <w:b w:val="0"/>
          <w:lang w:val="de-CH"/>
        </w:rPr>
        <w:t>us Perfect Charging auf der Logistics &amp; Distribution in Zürich:</w:t>
      </w:r>
    </w:p>
    <w:p w:rsidR="006570A9" w:rsidRPr="001269BB" w:rsidRDefault="00285B3B" w:rsidP="004D1A5C">
      <w:pPr>
        <w:pStyle w:val="berschrift2"/>
        <w:rPr>
          <w:lang w:val="de-CH"/>
        </w:rPr>
      </w:pPr>
      <w:r w:rsidRPr="001269BB">
        <w:rPr>
          <w:lang w:val="de-CH"/>
        </w:rPr>
        <w:t>Spezialist für das Laden von Antriebsbatterien</w:t>
      </w:r>
    </w:p>
    <w:p w:rsidR="00FC0653" w:rsidRPr="001269BB" w:rsidRDefault="00FC0653" w:rsidP="00FC0653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</w:pPr>
    </w:p>
    <w:p w:rsidR="007432DB" w:rsidRPr="001269BB" w:rsidRDefault="00A62A2C" w:rsidP="007432DB">
      <w:pPr>
        <w:spacing w:line="360" w:lineRule="auto"/>
        <w:rPr>
          <w:rFonts w:cs="Arial"/>
          <w:b/>
          <w:bCs/>
          <w:sz w:val="22"/>
          <w:szCs w:val="22"/>
          <w:lang w:val="de-CH"/>
        </w:rPr>
      </w:pPr>
      <w:r w:rsidRPr="001269BB">
        <w:rPr>
          <w:rStyle w:val="Fett"/>
          <w:rFonts w:cs="Arial"/>
          <w:sz w:val="22"/>
          <w:szCs w:val="22"/>
          <w:lang w:val="de-CH"/>
        </w:rPr>
        <w:t xml:space="preserve">Wels, </w:t>
      </w:r>
      <w:r w:rsidR="00C96A5A" w:rsidRPr="001269BB">
        <w:rPr>
          <w:rStyle w:val="Fett"/>
          <w:rFonts w:cs="Arial"/>
          <w:sz w:val="22"/>
          <w:szCs w:val="22"/>
          <w:lang w:val="de-CH"/>
        </w:rPr>
        <w:t>16.03.2018</w:t>
      </w:r>
      <w:r w:rsidRPr="001269BB">
        <w:rPr>
          <w:rStyle w:val="Fett"/>
          <w:rFonts w:cs="Arial"/>
          <w:sz w:val="22"/>
          <w:szCs w:val="22"/>
          <w:lang w:val="de-CH"/>
        </w:rPr>
        <w:t xml:space="preserve"> –</w:t>
      </w:r>
      <w:r w:rsidR="004D1A5C" w:rsidRPr="001269BB">
        <w:rPr>
          <w:rStyle w:val="Fett"/>
          <w:rFonts w:cs="Arial"/>
          <w:sz w:val="22"/>
          <w:szCs w:val="22"/>
          <w:lang w:val="de-CH"/>
        </w:rPr>
        <w:t xml:space="preserve"> </w:t>
      </w:r>
      <w:r w:rsidR="00285B3B" w:rsidRPr="001269BB">
        <w:rPr>
          <w:rStyle w:val="Fett"/>
          <w:rFonts w:cs="Arial"/>
          <w:sz w:val="22"/>
          <w:szCs w:val="22"/>
          <w:lang w:val="de-CH"/>
        </w:rPr>
        <w:t>Auf der Logistics &amp; Distribution</w:t>
      </w:r>
      <w:r w:rsidR="007432DB" w:rsidRPr="001269BB">
        <w:rPr>
          <w:rStyle w:val="Fett"/>
          <w:rFonts w:cs="Arial"/>
          <w:sz w:val="22"/>
          <w:szCs w:val="22"/>
          <w:lang w:val="de-CH"/>
        </w:rPr>
        <w:t>, der Schweizer Fachmesse für Materialfluss, Logistik und Distribution (11. bis 12. April 2018, Zürich), präsentiert Fronius Perfect Charging sein breites</w:t>
      </w:r>
      <w:r w:rsidR="006570A9" w:rsidRPr="001269BB">
        <w:rPr>
          <w:rStyle w:val="Fett"/>
          <w:rFonts w:cs="Arial"/>
          <w:sz w:val="22"/>
          <w:szCs w:val="22"/>
          <w:lang w:val="de-CH"/>
        </w:rPr>
        <w:t xml:space="preserve"> Produkt- und Service-Portfolio</w:t>
      </w:r>
      <w:r w:rsidR="007432DB" w:rsidRPr="001269BB">
        <w:rPr>
          <w:rStyle w:val="Fett"/>
          <w:rFonts w:cs="Arial"/>
          <w:sz w:val="22"/>
          <w:szCs w:val="22"/>
          <w:lang w:val="de-CH"/>
        </w:rPr>
        <w:t xml:space="preserve"> rund um das Laden von Antriebsbatterien</w:t>
      </w:r>
      <w:r w:rsidR="006570A9" w:rsidRPr="001269BB">
        <w:rPr>
          <w:rStyle w:val="Fett"/>
          <w:rFonts w:cs="Arial"/>
          <w:sz w:val="22"/>
          <w:szCs w:val="22"/>
          <w:lang w:val="de-CH"/>
        </w:rPr>
        <w:t xml:space="preserve">. </w:t>
      </w:r>
      <w:r w:rsidR="007432DB" w:rsidRPr="001269BB">
        <w:rPr>
          <w:rStyle w:val="Fett"/>
          <w:rFonts w:cs="Arial"/>
          <w:sz w:val="22"/>
          <w:szCs w:val="22"/>
          <w:lang w:val="de-CH"/>
        </w:rPr>
        <w:t xml:space="preserve">In </w:t>
      </w:r>
      <w:r w:rsidR="007432DB" w:rsidRPr="001269BB">
        <w:rPr>
          <w:rFonts w:cs="Arial"/>
          <w:b/>
          <w:bCs/>
          <w:sz w:val="22"/>
          <w:szCs w:val="22"/>
          <w:lang w:val="de-CH"/>
        </w:rPr>
        <w:t>Halle 3 auf Stand D23 können sich Besucher unter anderem über die energieeffizienten und schonenden Selectiva-Batterieladegeräte, das Visualisierungstool I-SPoT Viewer oder das Informations- und Managementsystem Cool Battery Guide Easy informieren.</w:t>
      </w:r>
    </w:p>
    <w:p w:rsidR="007432DB" w:rsidRPr="001269BB" w:rsidRDefault="007432DB" w:rsidP="00857D8C">
      <w:pPr>
        <w:spacing w:line="360" w:lineRule="auto"/>
        <w:rPr>
          <w:rStyle w:val="Fett"/>
          <w:rFonts w:cs="Arial"/>
          <w:sz w:val="22"/>
          <w:szCs w:val="22"/>
          <w:lang w:val="de-CH"/>
        </w:rPr>
      </w:pPr>
    </w:p>
    <w:p w:rsidR="007432DB" w:rsidRPr="001269BB" w:rsidRDefault="00353242" w:rsidP="00353242">
      <w:pPr>
        <w:spacing w:line="360" w:lineRule="auto"/>
        <w:rPr>
          <w:sz w:val="22"/>
          <w:szCs w:val="22"/>
          <w:lang w:val="de-CH"/>
        </w:rPr>
      </w:pPr>
      <w:bookmarkStart w:id="0" w:name="_GoBack"/>
      <w:r w:rsidRPr="001269BB">
        <w:rPr>
          <w:sz w:val="22"/>
          <w:szCs w:val="22"/>
          <w:lang w:val="de-CH"/>
        </w:rPr>
        <w:t>Fronius berät und unterstützt Flurförderzeug-Betreiber dabei, die wirtschaftlichste Antriebstechnologie für ihre Flotte zu finden und ma</w:t>
      </w:r>
      <w:r w:rsidR="005B22AA">
        <w:rPr>
          <w:sz w:val="22"/>
          <w:szCs w:val="22"/>
          <w:lang w:val="de-CH"/>
        </w:rPr>
        <w:t>ss</w:t>
      </w:r>
      <w:r w:rsidRPr="001269BB">
        <w:rPr>
          <w:sz w:val="22"/>
          <w:szCs w:val="22"/>
          <w:lang w:val="de-CH"/>
        </w:rPr>
        <w:t xml:space="preserve">geschneiderte Komplettsysteme </w:t>
      </w:r>
      <w:r w:rsidR="007432DB" w:rsidRPr="001269BB">
        <w:rPr>
          <w:sz w:val="22"/>
          <w:szCs w:val="22"/>
          <w:lang w:val="de-CH"/>
        </w:rPr>
        <w:t xml:space="preserve">mit klassischen Bleibatterien, Lithium-Ionen-Akkus oder Brennstoffzellen </w:t>
      </w:r>
      <w:r w:rsidRPr="001269BB">
        <w:rPr>
          <w:sz w:val="22"/>
          <w:szCs w:val="22"/>
          <w:lang w:val="de-CH"/>
        </w:rPr>
        <w:t xml:space="preserve">zu realisieren. </w:t>
      </w:r>
      <w:r w:rsidR="007432DB" w:rsidRPr="001269BB">
        <w:rPr>
          <w:sz w:val="22"/>
          <w:szCs w:val="22"/>
          <w:lang w:val="de-CH"/>
        </w:rPr>
        <w:t>Auf dem Messestand zeigt das Unternehmen unter anderem die Ladegeräte der Selectiva-Familie. Diese verfügen über den Ri-Ladeprozess, das fortschrittlichste, effizienteste und schonendste Verfahren zum Laden von Blei-Säure-Batterien am Markt. Die Ladekennlinie richtet sich dabei unter anderem nach Alter, Kapazität und Zustand der angehängten Batterie – das verringert Energieverluste sowie die schädliche Erwärmung der Akkus. Anwender profitieren damit von einem deutlich geringeren Stromverbrauch und einer längeren Batterielebensdauer. Auch für den Betrieb mit Lithium-Ionen-Akkus sind die Selectiva-Geräte geeignet.</w:t>
      </w:r>
    </w:p>
    <w:p w:rsidR="00504E2D" w:rsidRPr="001269BB" w:rsidRDefault="00504E2D" w:rsidP="00353242">
      <w:pPr>
        <w:spacing w:line="360" w:lineRule="auto"/>
        <w:rPr>
          <w:sz w:val="22"/>
          <w:szCs w:val="22"/>
          <w:lang w:val="de-CH"/>
        </w:rPr>
      </w:pPr>
    </w:p>
    <w:p w:rsidR="00504E2D" w:rsidRPr="001269BB" w:rsidRDefault="00504E2D" w:rsidP="00353242">
      <w:pPr>
        <w:spacing w:line="360" w:lineRule="auto"/>
        <w:rPr>
          <w:sz w:val="22"/>
          <w:szCs w:val="22"/>
          <w:lang w:val="de-CH"/>
        </w:rPr>
      </w:pPr>
      <w:r w:rsidRPr="001269BB">
        <w:rPr>
          <w:sz w:val="22"/>
          <w:szCs w:val="22"/>
          <w:lang w:val="de-CH"/>
        </w:rPr>
        <w:t>Flurförderzeug-Händler finden bei Fronius intelligente Lösungen zur wirtschaftlichen und benutzerfreundlichen Ausstattung von Mietstaplerflotten. Die Selectiva-Geräte laden dafür flexibel Batterien mit unterschiedlichen Spannungen und Kapazitäten – das vereinfacht die Bedienung. Weitere Vorteile sind das geringe Gewicht und der geringe Platzbedarf der Geräte sowie die niedrigen Betriebskosten. Features wie die web-basierte Auswertung der Ladezyklen und eine robuste Transportbox helfen dabei, Bedienfehler und Beschädigungen zu vermeiden und so die Lebensdauer von Batterien und Ladegeräten deutlich zu verlängern.</w:t>
      </w:r>
    </w:p>
    <w:p w:rsidR="00504E2D" w:rsidRPr="001269BB" w:rsidRDefault="00504E2D" w:rsidP="00353242">
      <w:pPr>
        <w:spacing w:line="360" w:lineRule="auto"/>
        <w:rPr>
          <w:sz w:val="22"/>
          <w:szCs w:val="22"/>
          <w:lang w:val="de-CH"/>
        </w:rPr>
      </w:pPr>
    </w:p>
    <w:p w:rsidR="00504E2D" w:rsidRPr="001269BB" w:rsidRDefault="00504E2D" w:rsidP="00353242">
      <w:pPr>
        <w:spacing w:line="360" w:lineRule="auto"/>
        <w:rPr>
          <w:sz w:val="22"/>
          <w:szCs w:val="22"/>
          <w:lang w:val="de-CH"/>
        </w:rPr>
      </w:pPr>
      <w:r w:rsidRPr="001269BB">
        <w:rPr>
          <w:sz w:val="22"/>
          <w:szCs w:val="22"/>
          <w:lang w:val="de-CH"/>
        </w:rPr>
        <w:lastRenderedPageBreak/>
        <w:t>Ebenfalls auf der Logistics &amp; Distribution zu sehen ist das Visualisierungstool I-SPoT Viewer, das Batterieladezyklen grafisch aufbereitet darstellt. Fehler, wie etwa Falscheinstellungen an Geräten oder Batteriedefekte, lassen sich damit leicht identifizieren und beseitigen. Das Informations- und Managementsystem Cool Battery Guide Easy sorgt hingegen für eine optimale Ausnutzung des Batteriepools. Eine Steuereinheit in Verbindung mit einem LED-Streifen an jedem Ladegerät führt den Benutzer intuitiv zu der Batterie, die am längsten vollgeladen und damit am kühlsten ist.</w:t>
      </w:r>
    </w:p>
    <w:p w:rsidR="009E3FB9" w:rsidRPr="001269BB" w:rsidRDefault="009E3FB9" w:rsidP="00857D8C">
      <w:pPr>
        <w:spacing w:line="360" w:lineRule="auto"/>
        <w:rPr>
          <w:sz w:val="22"/>
          <w:szCs w:val="22"/>
          <w:lang w:val="de-CH"/>
        </w:rPr>
      </w:pPr>
    </w:p>
    <w:p w:rsidR="00C868CA" w:rsidRPr="001269BB" w:rsidRDefault="009E3FB9" w:rsidP="00857D8C">
      <w:pPr>
        <w:spacing w:line="360" w:lineRule="auto"/>
        <w:rPr>
          <w:sz w:val="22"/>
          <w:szCs w:val="22"/>
          <w:lang w:val="de-CH"/>
        </w:rPr>
      </w:pPr>
      <w:r w:rsidRPr="001269BB">
        <w:rPr>
          <w:sz w:val="22"/>
          <w:szCs w:val="22"/>
          <w:lang w:val="de-CH"/>
        </w:rPr>
        <w:t>Als Komplettanbieter betreut Fronius seine Kunden von der Analyse des Ist-Zustands und des Einsparpotenzials über Planung, Aufbau und Inbetriebnahme der idealen Ladeinfrastruktur bis hin zu Wartung und Instandhaltung – immer mit dem Ziel, Intralogistik-Prozesse nachhaltig zu optimieren und damit die Kosten zu senken. Das Sortiment umfasst auch ma</w:t>
      </w:r>
      <w:r w:rsidR="005B22AA">
        <w:rPr>
          <w:sz w:val="22"/>
          <w:szCs w:val="22"/>
          <w:lang w:val="de-CH"/>
        </w:rPr>
        <w:t>ss</w:t>
      </w:r>
      <w:r w:rsidRPr="001269BB">
        <w:rPr>
          <w:sz w:val="22"/>
          <w:szCs w:val="22"/>
          <w:lang w:val="de-CH"/>
        </w:rPr>
        <w:t>geschneidertes Zubehör wie etwa Montagemodu</w:t>
      </w:r>
      <w:r w:rsidR="000C62AB" w:rsidRPr="001269BB">
        <w:rPr>
          <w:sz w:val="22"/>
          <w:szCs w:val="22"/>
          <w:lang w:val="de-CH"/>
        </w:rPr>
        <w:t>le oder Batteriewechselsysteme.</w:t>
      </w:r>
      <w:r w:rsidR="00504E2D" w:rsidRPr="001269BB">
        <w:rPr>
          <w:sz w:val="22"/>
          <w:szCs w:val="22"/>
          <w:lang w:val="de-CH"/>
        </w:rPr>
        <w:t xml:space="preserve"> Zudem ist Fronius für seine Kunden ein kompetenter Berater: Messebesucher können sich am Stand zum Beispiel über die Vor- und Nachteile verschiedener Antriebstechnologien informieren und finden auch bei Trendthemen wie den neuen Energieeffizienzgesetzen, Green Logistics oder Schnell- und Zwischenladungen Antworten auf ihre Fragen.</w:t>
      </w:r>
      <w:bookmarkEnd w:id="0"/>
    </w:p>
    <w:p w:rsidR="000C62AB" w:rsidRPr="001269BB" w:rsidRDefault="000C62AB" w:rsidP="005D34FD">
      <w:pPr>
        <w:rPr>
          <w:sz w:val="22"/>
          <w:szCs w:val="22"/>
          <w:lang w:val="de-CH"/>
        </w:rPr>
      </w:pPr>
    </w:p>
    <w:p w:rsidR="00C868CA" w:rsidRPr="001269BB" w:rsidRDefault="00504E2D" w:rsidP="005D34FD">
      <w:pPr>
        <w:rPr>
          <w:b/>
          <w:sz w:val="22"/>
          <w:szCs w:val="22"/>
          <w:lang w:val="de-CH"/>
        </w:rPr>
      </w:pPr>
      <w:r w:rsidRPr="001269BB">
        <w:rPr>
          <w:b/>
          <w:sz w:val="22"/>
          <w:szCs w:val="22"/>
          <w:lang w:val="de-CH"/>
        </w:rPr>
        <w:t>Fronius auf der Logistics &amp; Distribution: Halle 3, Stand D23</w:t>
      </w:r>
    </w:p>
    <w:p w:rsidR="00B048CA" w:rsidRPr="001269BB" w:rsidRDefault="00B048CA" w:rsidP="00B048CA">
      <w:pPr>
        <w:spacing w:line="360" w:lineRule="auto"/>
        <w:rPr>
          <w:i/>
          <w:lang w:val="de-CH"/>
        </w:rPr>
      </w:pPr>
    </w:p>
    <w:p w:rsidR="00B048CA" w:rsidRPr="001269BB" w:rsidRDefault="00B048CA" w:rsidP="00B048CA">
      <w:pPr>
        <w:spacing w:line="360" w:lineRule="auto"/>
        <w:rPr>
          <w:i/>
          <w:lang w:val="de-CH"/>
        </w:rPr>
      </w:pPr>
      <w:r w:rsidRPr="001269BB">
        <w:rPr>
          <w:i/>
          <w:lang w:val="de-CH"/>
        </w:rPr>
        <w:t>3.528 Zeichen inkl. Leerzeichen</w:t>
      </w:r>
    </w:p>
    <w:p w:rsidR="000875B1" w:rsidRPr="001269BB" w:rsidRDefault="000B4B88" w:rsidP="000875B1">
      <w:pPr>
        <w:rPr>
          <w:lang w:val="de-CH"/>
        </w:rPr>
      </w:pPr>
    </w:p>
    <w:p w:rsidR="000B5EAD" w:rsidRPr="001269BB" w:rsidRDefault="000B5EAD" w:rsidP="006F4AF7">
      <w:pPr>
        <w:spacing w:line="360" w:lineRule="auto"/>
        <w:rPr>
          <w:sz w:val="22"/>
          <w:lang w:val="de-CH"/>
        </w:rPr>
      </w:pPr>
    </w:p>
    <w:p w:rsidR="006F4AF7" w:rsidRPr="001269BB" w:rsidRDefault="006F4AF7" w:rsidP="006F4AF7">
      <w:pPr>
        <w:spacing w:line="360" w:lineRule="auto"/>
        <w:rPr>
          <w:i/>
          <w:lang w:val="de-CH"/>
        </w:rPr>
      </w:pPr>
      <w:r w:rsidRPr="001269BB">
        <w:rPr>
          <w:b/>
          <w:i/>
          <w:lang w:val="de-CH"/>
        </w:rPr>
        <w:t xml:space="preserve">Meta-Title: </w:t>
      </w:r>
      <w:r w:rsidR="00504E2D" w:rsidRPr="001269BB">
        <w:rPr>
          <w:i/>
          <w:lang w:val="de-CH"/>
        </w:rPr>
        <w:t>Batterieladetechnik-Spezialist Fronius auf der Logistics &amp; Distribution</w:t>
      </w:r>
    </w:p>
    <w:p w:rsidR="006F4AF7" w:rsidRPr="001269BB" w:rsidRDefault="006F4AF7" w:rsidP="006F4AF7">
      <w:pPr>
        <w:spacing w:line="360" w:lineRule="auto"/>
        <w:rPr>
          <w:b/>
          <w:i/>
          <w:lang w:val="de-CH"/>
        </w:rPr>
      </w:pPr>
    </w:p>
    <w:p w:rsidR="006F4AF7" w:rsidRPr="001269BB" w:rsidRDefault="006F4AF7" w:rsidP="006F4AF7">
      <w:pPr>
        <w:spacing w:line="360" w:lineRule="auto"/>
        <w:rPr>
          <w:i/>
          <w:lang w:val="de-CH"/>
        </w:rPr>
      </w:pPr>
      <w:r w:rsidRPr="001269BB">
        <w:rPr>
          <w:b/>
          <w:i/>
          <w:lang w:val="de-CH"/>
        </w:rPr>
        <w:t xml:space="preserve">Meta-Description: </w:t>
      </w:r>
      <w:r w:rsidR="00504E2D" w:rsidRPr="001269BB">
        <w:rPr>
          <w:i/>
          <w:lang w:val="de-CH"/>
        </w:rPr>
        <w:t>Fronius Perfect Charging zeigt auf der Logistics &amp; Distribution sein breites Produkt- und Service-Portfolio rund um das Laden von Antriebsbatterien</w:t>
      </w:r>
    </w:p>
    <w:p w:rsidR="006F4AF7" w:rsidRPr="001269BB" w:rsidRDefault="006F4AF7" w:rsidP="006F4AF7">
      <w:pPr>
        <w:spacing w:line="360" w:lineRule="auto"/>
        <w:rPr>
          <w:b/>
          <w:i/>
          <w:lang w:val="de-CH"/>
        </w:rPr>
      </w:pPr>
    </w:p>
    <w:p w:rsidR="006F4AF7" w:rsidRPr="005B22AA" w:rsidRDefault="006F4AF7" w:rsidP="006F4AF7">
      <w:pPr>
        <w:spacing w:line="360" w:lineRule="auto"/>
        <w:rPr>
          <w:i/>
        </w:rPr>
      </w:pPr>
      <w:r w:rsidRPr="005B22AA">
        <w:rPr>
          <w:b/>
          <w:i/>
        </w:rPr>
        <w:t xml:space="preserve">Keywords: </w:t>
      </w:r>
      <w:r w:rsidR="00504E2D" w:rsidRPr="005B22AA">
        <w:rPr>
          <w:i/>
        </w:rPr>
        <w:t>Fronius Perfect Charging Logistics &amp; Distribution Zürich</w:t>
      </w:r>
      <w:r w:rsidRPr="005B22AA">
        <w:rPr>
          <w:i/>
        </w:rPr>
        <w:t xml:space="preserve"> Ladetechnik Ladegerät Antriebsbatterie Batterie Flurförderzeug Stapler Ri-Ladeprozess Selectiva I-SPoT Viewer Cool Battery Guide Easy Mietstapler</w:t>
      </w:r>
      <w:r w:rsidR="00361BEE" w:rsidRPr="005B22AA">
        <w:rPr>
          <w:i/>
        </w:rPr>
        <w:t xml:space="preserve"> Best in TCO Industrie 4.0</w:t>
      </w:r>
    </w:p>
    <w:p w:rsidR="000B5EAD" w:rsidRPr="005B22AA" w:rsidRDefault="000B5EAD" w:rsidP="006F4AF7">
      <w:pPr>
        <w:spacing w:line="360" w:lineRule="auto"/>
        <w:rPr>
          <w:i/>
        </w:rPr>
      </w:pPr>
    </w:p>
    <w:p w:rsidR="000B5EAD" w:rsidRPr="005B22AA" w:rsidRDefault="000B5EAD">
      <w:r w:rsidRPr="005B22AA">
        <w:br w:type="page"/>
      </w:r>
    </w:p>
    <w:p w:rsidR="006F4AF7" w:rsidRPr="001269BB" w:rsidRDefault="006F4AF7" w:rsidP="006F4AF7">
      <w:pPr>
        <w:ind w:right="544"/>
        <w:rPr>
          <w:b/>
          <w:bCs/>
          <w:lang w:val="de-CH"/>
        </w:rPr>
      </w:pPr>
      <w:r w:rsidRPr="001269BB">
        <w:rPr>
          <w:b/>
          <w:bCs/>
          <w:lang w:val="de-CH"/>
        </w:rPr>
        <w:lastRenderedPageBreak/>
        <w:t>Bildunterschriften</w:t>
      </w:r>
    </w:p>
    <w:p w:rsidR="006F4AF7" w:rsidRPr="001269BB" w:rsidRDefault="006F4AF7" w:rsidP="006F4AF7">
      <w:pPr>
        <w:ind w:right="544"/>
        <w:rPr>
          <w:b/>
          <w:bCs/>
          <w:lang w:val="de-CH"/>
        </w:rPr>
      </w:pPr>
    </w:p>
    <w:tbl>
      <w:tblPr>
        <w:tblW w:w="10116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314"/>
      </w:tblGrid>
      <w:tr w:rsidR="006F4AF7" w:rsidRPr="005B22AA" w:rsidTr="005611EA">
        <w:trPr>
          <w:trHeight w:val="1216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AF7" w:rsidRPr="001269BB" w:rsidRDefault="006F4AF7" w:rsidP="00352343">
            <w:pPr>
              <w:rPr>
                <w:lang w:val="de-CH"/>
              </w:rPr>
            </w:pPr>
            <w:r w:rsidRPr="001269BB">
              <w:rPr>
                <w:noProof/>
                <w:lang w:val="de-CH" w:eastAsia="de-CH"/>
              </w:rPr>
              <w:drawing>
                <wp:inline distT="0" distB="0" distL="0" distR="0">
                  <wp:extent cx="1638300" cy="1095375"/>
                  <wp:effectExtent l="0" t="0" r="0" b="9525"/>
                  <wp:docPr id="6" name="Grafik 6" descr="PI_LogiMAT_Bild01_Selectiva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_LogiMAT_Bild01_Selectiva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6F4AF7" w:rsidRPr="001269BB" w:rsidRDefault="00FC0653" w:rsidP="00352343">
            <w:pPr>
              <w:rPr>
                <w:lang w:val="de-CH"/>
              </w:rPr>
            </w:pPr>
            <w:r w:rsidRPr="001269BB">
              <w:rPr>
                <w:b/>
                <w:lang w:val="de-CH"/>
              </w:rPr>
              <w:t xml:space="preserve">Bild 1: </w:t>
            </w:r>
            <w:r w:rsidR="006F4AF7" w:rsidRPr="001269BB">
              <w:rPr>
                <w:lang w:val="de-CH"/>
              </w:rPr>
              <w:t xml:space="preserve">Die </w:t>
            </w:r>
            <w:r w:rsidR="000B5EAD" w:rsidRPr="001269BB">
              <w:rPr>
                <w:lang w:val="de-CH"/>
              </w:rPr>
              <w:t xml:space="preserve">Selectiva-Ladegeräte von </w:t>
            </w:r>
            <w:r w:rsidR="006F4AF7" w:rsidRPr="001269BB">
              <w:rPr>
                <w:lang w:val="de-CH"/>
              </w:rPr>
              <w:t>Fronius bieten mit dem Ri-Ladeprozess das weltweit fortschrittlichste, effizienteste und schonendste Verfahren zum Laden von Blei-Säure-Batterien.</w:t>
            </w:r>
          </w:p>
          <w:p w:rsidR="006F4AF7" w:rsidRPr="001269BB" w:rsidRDefault="006F4AF7" w:rsidP="00352343">
            <w:pPr>
              <w:rPr>
                <w:lang w:val="de-CH"/>
              </w:rPr>
            </w:pPr>
          </w:p>
        </w:tc>
      </w:tr>
      <w:tr w:rsidR="005611EA" w:rsidRPr="005B22AA" w:rsidTr="005611EA">
        <w:trPr>
          <w:trHeight w:val="1216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611EA" w:rsidRPr="001269BB" w:rsidRDefault="00E17344" w:rsidP="00F9497D">
            <w:pPr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651000" cy="1371600"/>
                  <wp:effectExtent l="0" t="0" r="6350" b="0"/>
                  <wp:docPr id="2" name="Bild 1" descr="PC_pic_Selectiva-Lithium-Ionen-Mon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_pic_Selectiva-Lithium-Ionen-Mon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5611EA" w:rsidRPr="001269BB" w:rsidRDefault="005611EA" w:rsidP="00F9497D">
            <w:pPr>
              <w:rPr>
                <w:lang w:val="de-CH"/>
              </w:rPr>
            </w:pPr>
            <w:r w:rsidRPr="001269BB">
              <w:rPr>
                <w:b/>
                <w:lang w:val="de-CH"/>
              </w:rPr>
              <w:t xml:space="preserve">Bild 2: </w:t>
            </w:r>
            <w:r w:rsidRPr="001269BB">
              <w:rPr>
                <w:lang w:val="de-CH"/>
              </w:rPr>
              <w:t>Auch für den Betrieb mit Lithium-Ionen-Akkus sind die Selectiva-Geräte geeignet.</w:t>
            </w:r>
          </w:p>
          <w:p w:rsidR="005611EA" w:rsidRPr="001269BB" w:rsidRDefault="005611EA" w:rsidP="00F9497D">
            <w:pPr>
              <w:rPr>
                <w:lang w:val="de-CH"/>
              </w:rPr>
            </w:pPr>
          </w:p>
        </w:tc>
      </w:tr>
      <w:tr w:rsidR="006F4AF7" w:rsidRPr="005B22AA" w:rsidTr="005611EA">
        <w:trPr>
          <w:trHeight w:val="1422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AF7" w:rsidRPr="001269BB" w:rsidRDefault="006F4AF7" w:rsidP="00352343">
            <w:pPr>
              <w:rPr>
                <w:lang w:val="de-CH"/>
              </w:rPr>
            </w:pPr>
            <w:r w:rsidRPr="001269BB">
              <w:rPr>
                <w:noProof/>
                <w:lang w:val="de-CH" w:eastAsia="de-CH"/>
              </w:rPr>
              <w:drawing>
                <wp:inline distT="0" distB="0" distL="0" distR="0">
                  <wp:extent cx="1638300" cy="1228725"/>
                  <wp:effectExtent l="0" t="0" r="0" b="9525"/>
                  <wp:docPr id="5" name="Grafik 5" descr="PI_LogiMAT_Bild02_Wechselmod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_LogiMAT_Bild02_Wechselmod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6F4AF7" w:rsidRPr="001269BB" w:rsidRDefault="00FC0653" w:rsidP="00352343">
            <w:pPr>
              <w:rPr>
                <w:lang w:val="de-CH"/>
              </w:rPr>
            </w:pPr>
            <w:r w:rsidRPr="001269BB">
              <w:rPr>
                <w:b/>
                <w:lang w:val="de-CH"/>
              </w:rPr>
              <w:t xml:space="preserve">Bild </w:t>
            </w:r>
            <w:r w:rsidR="005611EA" w:rsidRPr="001269BB">
              <w:rPr>
                <w:b/>
                <w:lang w:val="de-CH"/>
              </w:rPr>
              <w:t>3</w:t>
            </w:r>
            <w:r w:rsidRPr="001269BB">
              <w:rPr>
                <w:b/>
                <w:lang w:val="de-CH"/>
              </w:rPr>
              <w:t xml:space="preserve">: </w:t>
            </w:r>
            <w:r w:rsidR="003F165F" w:rsidRPr="001269BB">
              <w:rPr>
                <w:lang w:val="de-CH"/>
              </w:rPr>
              <w:t xml:space="preserve">Bei der </w:t>
            </w:r>
            <w:r w:rsidR="006F4AF7" w:rsidRPr="001269BB">
              <w:rPr>
                <w:lang w:val="de-CH"/>
              </w:rPr>
              <w:t xml:space="preserve">Planung, </w:t>
            </w:r>
            <w:r w:rsidR="003F165F" w:rsidRPr="001269BB">
              <w:rPr>
                <w:lang w:val="de-CH"/>
              </w:rPr>
              <w:t xml:space="preserve">dem </w:t>
            </w:r>
            <w:r w:rsidR="006F4AF7" w:rsidRPr="001269BB">
              <w:rPr>
                <w:lang w:val="de-CH"/>
              </w:rPr>
              <w:t xml:space="preserve">Aufbau und </w:t>
            </w:r>
            <w:r w:rsidR="003F165F" w:rsidRPr="001269BB">
              <w:rPr>
                <w:lang w:val="de-CH"/>
              </w:rPr>
              <w:t xml:space="preserve">der </w:t>
            </w:r>
            <w:r w:rsidR="006F4AF7" w:rsidRPr="001269BB">
              <w:rPr>
                <w:lang w:val="de-CH"/>
              </w:rPr>
              <w:t>Inbetriebnahme der idealen Ladeinfrastruktur ist Fronius ein kompetenter Partner.</w:t>
            </w: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  <w:p w:rsidR="006F4AF7" w:rsidRPr="001269BB" w:rsidRDefault="006F4AF7" w:rsidP="00352343">
            <w:pPr>
              <w:keepNext/>
              <w:outlineLvl w:val="2"/>
              <w:rPr>
                <w:b/>
                <w:bCs/>
                <w:lang w:val="de-CH"/>
              </w:rPr>
            </w:pPr>
          </w:p>
        </w:tc>
      </w:tr>
      <w:tr w:rsidR="006F4AF7" w:rsidRPr="005B22AA" w:rsidTr="005611EA">
        <w:trPr>
          <w:trHeight w:val="1216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F4AF7" w:rsidRPr="001269BB" w:rsidRDefault="006F4AF7" w:rsidP="00352343">
            <w:pPr>
              <w:rPr>
                <w:lang w:val="de-CH"/>
              </w:rPr>
            </w:pPr>
            <w:r w:rsidRPr="001269BB">
              <w:rPr>
                <w:noProof/>
                <w:lang w:val="de-CH" w:eastAsia="de-CH"/>
              </w:rPr>
              <w:drawing>
                <wp:inline distT="0" distB="0" distL="0" distR="0">
                  <wp:extent cx="1638300" cy="876300"/>
                  <wp:effectExtent l="0" t="0" r="0" b="0"/>
                  <wp:docPr id="4" name="Grafik 4" descr="PI_LogiMAT_Bild03_CBG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_LogiMAT_Bild03_CBG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6F4AF7" w:rsidRPr="001269BB" w:rsidRDefault="00FC0653" w:rsidP="00352343">
            <w:pPr>
              <w:rPr>
                <w:lang w:val="de-CH"/>
              </w:rPr>
            </w:pPr>
            <w:r w:rsidRPr="001269BB">
              <w:rPr>
                <w:b/>
                <w:lang w:val="de-CH"/>
              </w:rPr>
              <w:t xml:space="preserve">Bild </w:t>
            </w:r>
            <w:r w:rsidR="005611EA" w:rsidRPr="001269BB">
              <w:rPr>
                <w:b/>
                <w:lang w:val="de-CH"/>
              </w:rPr>
              <w:t>4</w:t>
            </w:r>
            <w:r w:rsidRPr="001269BB">
              <w:rPr>
                <w:b/>
                <w:lang w:val="de-CH"/>
              </w:rPr>
              <w:t xml:space="preserve">: </w:t>
            </w:r>
            <w:r w:rsidR="006F4AF7" w:rsidRPr="001269BB">
              <w:rPr>
                <w:lang w:val="de-CH"/>
              </w:rPr>
              <w:t xml:space="preserve">Das Informations- und Managementsystem Cool Battery Guide Easy </w:t>
            </w:r>
            <w:r w:rsidR="000B5EAD" w:rsidRPr="001269BB">
              <w:rPr>
                <w:lang w:val="de-CH"/>
              </w:rPr>
              <w:t>verbessert die Auslastung von Batteriepools und verlängert damit die Lebensdauer der Akkus.</w:t>
            </w:r>
          </w:p>
          <w:p w:rsidR="006F4AF7" w:rsidRPr="001269BB" w:rsidRDefault="006F4AF7" w:rsidP="00352343">
            <w:pPr>
              <w:rPr>
                <w:lang w:val="de-CH"/>
              </w:rPr>
            </w:pPr>
          </w:p>
          <w:p w:rsidR="006F4AF7" w:rsidRPr="001269BB" w:rsidRDefault="006F4AF7" w:rsidP="00352343">
            <w:pPr>
              <w:rPr>
                <w:lang w:val="de-CH"/>
              </w:rPr>
            </w:pPr>
          </w:p>
          <w:p w:rsidR="006F4AF7" w:rsidRPr="001269BB" w:rsidRDefault="006F4AF7" w:rsidP="00352343">
            <w:pPr>
              <w:rPr>
                <w:lang w:val="de-CH"/>
              </w:rPr>
            </w:pPr>
          </w:p>
          <w:p w:rsidR="006F4AF7" w:rsidRPr="001269BB" w:rsidRDefault="006F4AF7" w:rsidP="00352343">
            <w:pPr>
              <w:rPr>
                <w:lang w:val="de-CH"/>
              </w:rPr>
            </w:pPr>
          </w:p>
        </w:tc>
      </w:tr>
    </w:tbl>
    <w:p w:rsidR="000875B1" w:rsidRPr="001269BB" w:rsidRDefault="000B4B88" w:rsidP="000875B1">
      <w:pPr>
        <w:rPr>
          <w:lang w:val="de-CH"/>
        </w:rPr>
      </w:pPr>
    </w:p>
    <w:p w:rsidR="000875B1" w:rsidRPr="001269BB" w:rsidRDefault="004D1A5C" w:rsidP="004D1A5C">
      <w:pPr>
        <w:rPr>
          <w:lang w:val="de-CH"/>
        </w:rPr>
      </w:pPr>
      <w:r w:rsidRPr="001269BB">
        <w:rPr>
          <w:lang w:val="de-CH"/>
        </w:rPr>
        <w:t>Fotos: Fronius International GmbH, Abdruck honorarfrei</w:t>
      </w:r>
    </w:p>
    <w:p w:rsidR="000875B1" w:rsidRPr="001269BB" w:rsidRDefault="000B4B88" w:rsidP="000875B1">
      <w:pPr>
        <w:rPr>
          <w:lang w:val="de-CH"/>
        </w:rPr>
      </w:pPr>
    </w:p>
    <w:p w:rsidR="000875B1" w:rsidRPr="001269BB" w:rsidRDefault="000B4B88" w:rsidP="000875B1">
      <w:pPr>
        <w:rPr>
          <w:lang w:val="de-CH"/>
        </w:rPr>
      </w:pPr>
    </w:p>
    <w:p w:rsidR="000875B1" w:rsidRPr="001269BB" w:rsidRDefault="00C8722B" w:rsidP="0066472D">
      <w:pPr>
        <w:rPr>
          <w:lang w:val="de-CH"/>
        </w:rPr>
      </w:pPr>
      <w:r w:rsidRPr="001269BB">
        <w:rPr>
          <w:b/>
          <w:lang w:val="de-CH"/>
        </w:rPr>
        <w:t>Über die Fronius International GmbH</w:t>
      </w:r>
    </w:p>
    <w:p w:rsidR="00637B3B" w:rsidRPr="001269BB" w:rsidRDefault="00637B3B" w:rsidP="0066472D">
      <w:pPr>
        <w:jc w:val="both"/>
        <w:rPr>
          <w:rFonts w:cs="Arial"/>
          <w:szCs w:val="20"/>
          <w:lang w:val="de-CH"/>
        </w:rPr>
      </w:pPr>
      <w:r w:rsidRPr="001269BB">
        <w:rPr>
          <w:rFonts w:cs="Arial"/>
          <w:szCs w:val="20"/>
          <w:lang w:val="de-CH"/>
        </w:rPr>
        <w:t>Fronius International ist ein österreichisches Unternehmen mit Firmensitz in Pettenbach und weiteren Standorten in Wels, Thalheim, Steinhaus und Sattledt. Das Unternehmen mit global 3.</w:t>
      </w:r>
      <w:r w:rsidR="0097397F" w:rsidRPr="001269BB">
        <w:rPr>
          <w:rFonts w:cs="Arial"/>
          <w:szCs w:val="20"/>
          <w:lang w:val="de-CH"/>
        </w:rPr>
        <w:t>817 M</w:t>
      </w:r>
      <w:r w:rsidRPr="001269BB">
        <w:rPr>
          <w:rFonts w:cs="Arial"/>
          <w:szCs w:val="20"/>
          <w:lang w:val="de-CH"/>
        </w:rPr>
        <w:t>itarbeitern ist in den Bereichen Schwei</w:t>
      </w:r>
      <w:r w:rsidR="005B22AA">
        <w:rPr>
          <w:rFonts w:cs="Arial"/>
          <w:szCs w:val="20"/>
          <w:lang w:val="de-CH"/>
        </w:rPr>
        <w:t>ss</w:t>
      </w:r>
      <w:r w:rsidRPr="001269BB">
        <w:rPr>
          <w:rFonts w:cs="Arial"/>
          <w:szCs w:val="20"/>
          <w:lang w:val="de-CH"/>
        </w:rPr>
        <w:t>technik, Photovoltaik und Batterieladetechnik tätig</w:t>
      </w:r>
      <w:r w:rsidR="002F182C" w:rsidRPr="001269BB">
        <w:rPr>
          <w:rFonts w:cs="Arial"/>
          <w:szCs w:val="20"/>
          <w:lang w:val="de-CH"/>
        </w:rPr>
        <w:t xml:space="preserve">. Der Exportanteil mit rund </w:t>
      </w:r>
      <w:r w:rsidR="0097397F" w:rsidRPr="001269BB">
        <w:rPr>
          <w:rFonts w:cs="Arial"/>
          <w:szCs w:val="20"/>
          <w:lang w:val="de-CH"/>
        </w:rPr>
        <w:t>89 Prozent wird mit 28</w:t>
      </w:r>
      <w:r w:rsidRPr="001269BB">
        <w:rPr>
          <w:rFonts w:cs="Arial"/>
          <w:szCs w:val="20"/>
          <w:lang w:val="de-CH"/>
        </w:rPr>
        <w:t xml:space="preserve"> internationalen Fronius Gesellschaften und Vertriebspartnern/ Repräsentanten in mehr als 60 Ländern erreicht. Mit innovativen Produkten und Dienstleistungen sowie </w:t>
      </w:r>
      <w:r w:rsidR="0097397F" w:rsidRPr="001269BB">
        <w:rPr>
          <w:rFonts w:cs="Arial"/>
          <w:szCs w:val="20"/>
          <w:lang w:val="de-CH"/>
        </w:rPr>
        <w:t>1.242</w:t>
      </w:r>
      <w:r w:rsidRPr="001269BB">
        <w:rPr>
          <w:rFonts w:cs="Arial"/>
          <w:szCs w:val="20"/>
          <w:lang w:val="de-CH"/>
        </w:rPr>
        <w:t xml:space="preserve"> erteilten Patenten ist Fronius Innovationsführer am Weltmarkt. </w:t>
      </w:r>
    </w:p>
    <w:p w:rsidR="0066472D" w:rsidRPr="001269BB" w:rsidRDefault="0066472D" w:rsidP="0066472D">
      <w:pPr>
        <w:rPr>
          <w:lang w:val="de-CH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314"/>
      </w:tblGrid>
      <w:tr w:rsidR="0066472D" w:rsidRPr="005B22AA" w:rsidTr="00306540">
        <w:trPr>
          <w:trHeight w:val="1216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6472D" w:rsidRPr="001269BB" w:rsidRDefault="0066472D" w:rsidP="0066472D">
            <w:pPr>
              <w:rPr>
                <w:szCs w:val="20"/>
                <w:lang w:val="de-CH"/>
              </w:rPr>
            </w:pPr>
            <w:r w:rsidRPr="001269BB">
              <w:rPr>
                <w:noProof/>
                <w:szCs w:val="20"/>
                <w:lang w:val="de-CH" w:eastAsia="de-CH"/>
              </w:rPr>
              <w:drawing>
                <wp:inline distT="0" distB="0" distL="0" distR="0">
                  <wp:extent cx="1640840" cy="1035685"/>
                  <wp:effectExtent l="0" t="0" r="0" b="0"/>
                  <wp:docPr id="25" name="Grafik 1" descr="IFOY_Partner-Logo-ohneJ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IFOY_Partner-Logo-ohneJ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66472D" w:rsidRPr="001269BB" w:rsidRDefault="0066472D" w:rsidP="0066472D">
            <w:pPr>
              <w:jc w:val="both"/>
              <w:rPr>
                <w:szCs w:val="20"/>
                <w:lang w:val="de-CH"/>
              </w:rPr>
            </w:pPr>
            <w:r w:rsidRPr="001269BB">
              <w:rPr>
                <w:rFonts w:cs="Arial"/>
                <w:szCs w:val="20"/>
                <w:lang w:val="de-CH"/>
              </w:rPr>
              <w:t>Fronius unterstützt als offizieller Partner die weltweite Intralogistik-Auszeichnung IFOY AWARD (International Forklift Truck of the Year), die jedes Jahr die besten Flurförderzeuge sowie Anwendungslösungen in Industrie, Handel und Dienstleistung prämiert.</w:t>
            </w:r>
          </w:p>
        </w:tc>
      </w:tr>
    </w:tbl>
    <w:p w:rsidR="0066472D" w:rsidRPr="001269BB" w:rsidRDefault="0066472D" w:rsidP="0066472D">
      <w:pPr>
        <w:jc w:val="both"/>
        <w:rPr>
          <w:rFonts w:cs="Arial"/>
          <w:szCs w:val="20"/>
          <w:lang w:val="de-CH"/>
        </w:rPr>
      </w:pPr>
    </w:p>
    <w:p w:rsidR="000875B1" w:rsidRPr="001269BB" w:rsidRDefault="000B4B88" w:rsidP="0066472D">
      <w:pPr>
        <w:rPr>
          <w:lang w:val="de-CH"/>
        </w:rPr>
      </w:pPr>
    </w:p>
    <w:p w:rsidR="000875B1" w:rsidRPr="001269BB" w:rsidRDefault="000B4B88" w:rsidP="0066472D">
      <w:pPr>
        <w:rPr>
          <w:lang w:val="de-CH" w:eastAsia="en-US"/>
        </w:rPr>
      </w:pPr>
    </w:p>
    <w:p w:rsidR="00B048CA" w:rsidRPr="001269BB" w:rsidRDefault="00B048CA" w:rsidP="0066472D">
      <w:pPr>
        <w:rPr>
          <w:rFonts w:cs="Arial"/>
          <w:b/>
          <w:szCs w:val="20"/>
          <w:lang w:val="de-CH"/>
        </w:rPr>
      </w:pPr>
    </w:p>
    <w:p w:rsidR="00B048CA" w:rsidRPr="001269BB" w:rsidRDefault="00B048CA" w:rsidP="0066472D">
      <w:pPr>
        <w:rPr>
          <w:rFonts w:cs="Arial"/>
          <w:b/>
          <w:szCs w:val="20"/>
          <w:lang w:val="de-CH"/>
        </w:rPr>
      </w:pPr>
    </w:p>
    <w:p w:rsidR="0066472D" w:rsidRPr="001269BB" w:rsidRDefault="0066472D" w:rsidP="0066472D">
      <w:pPr>
        <w:rPr>
          <w:lang w:val="de-CH"/>
        </w:rPr>
      </w:pPr>
      <w:r w:rsidRPr="001269BB">
        <w:rPr>
          <w:rFonts w:cs="Arial"/>
          <w:b/>
          <w:szCs w:val="20"/>
          <w:lang w:val="de-CH"/>
        </w:rPr>
        <w:lastRenderedPageBreak/>
        <w:t>Kontaktdaten zur Veröffentlichung:</w:t>
      </w:r>
    </w:p>
    <w:p w:rsidR="0066472D" w:rsidRPr="001269BB" w:rsidRDefault="0066472D" w:rsidP="0066472D">
      <w:pPr>
        <w:rPr>
          <w:lang w:val="de-CH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40"/>
      </w:tblGrid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Firmenname: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Fronius Perfect Charging</w:t>
            </w:r>
          </w:p>
        </w:tc>
      </w:tr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Kontakt-E-Mail: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0B4B88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hyperlink r:id="rId18" w:history="1">
              <w:r w:rsidR="0066472D" w:rsidRPr="001269BB">
                <w:rPr>
                  <w:rStyle w:val="Hyperlink"/>
                  <w:rFonts w:eastAsia="Times New Roman" w:cs="Arial"/>
                  <w:szCs w:val="20"/>
                  <w:lang w:val="de-CH" w:eastAsia="de-DE"/>
                </w:rPr>
                <w:t>perfect.charging@fronius.com</w:t>
              </w:r>
            </w:hyperlink>
          </w:p>
        </w:tc>
      </w:tr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Website: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0B4B88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hyperlink r:id="rId19" w:history="1">
              <w:r w:rsidR="0066472D" w:rsidRPr="001269BB">
                <w:rPr>
                  <w:rFonts w:eastAsia="Times New Roman" w:cs="Arial"/>
                  <w:szCs w:val="20"/>
                  <w:u w:val="single"/>
                  <w:lang w:val="de-CH" w:eastAsia="de-DE"/>
                </w:rPr>
                <w:t>www.fronius.com/intralogistik</w:t>
              </w:r>
            </w:hyperlink>
            <w:r w:rsidR="0066472D" w:rsidRPr="001269BB">
              <w:rPr>
                <w:rFonts w:eastAsia="Times New Roman" w:cs="Arial"/>
                <w:szCs w:val="20"/>
                <w:lang w:val="de-CH" w:eastAsia="de-DE"/>
              </w:rPr>
              <w:t xml:space="preserve"> </w:t>
            </w:r>
          </w:p>
        </w:tc>
      </w:tr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YouTube: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0B4B88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hyperlink r:id="rId20" w:history="1">
              <w:r w:rsidR="0066472D" w:rsidRPr="001269BB">
                <w:rPr>
                  <w:rFonts w:eastAsia="Times New Roman" w:cs="Arial"/>
                  <w:szCs w:val="20"/>
                  <w:u w:val="single"/>
                  <w:lang w:val="de-CH" w:eastAsia="de-DE"/>
                </w:rPr>
                <w:t>www.youtube.com/FroniusCharging</w:t>
              </w:r>
            </w:hyperlink>
            <w:r w:rsidR="0066472D" w:rsidRPr="001269BB">
              <w:rPr>
                <w:rFonts w:eastAsia="Times New Roman" w:cs="Arial"/>
                <w:szCs w:val="20"/>
                <w:lang w:val="de-CH" w:eastAsia="de-DE"/>
              </w:rPr>
              <w:t xml:space="preserve"> </w:t>
            </w:r>
          </w:p>
        </w:tc>
      </w:tr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Telefon Österreich: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+43 7242 241-2550</w:t>
            </w:r>
          </w:p>
        </w:tc>
      </w:tr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Telefon Deutschland: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+49 6655 916940</w:t>
            </w:r>
          </w:p>
        </w:tc>
      </w:tr>
      <w:tr w:rsidR="0066472D" w:rsidRPr="001269BB" w:rsidTr="00306540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Telefon Schweiz:</w:t>
            </w:r>
          </w:p>
        </w:tc>
        <w:tc>
          <w:tcPr>
            <w:tcW w:w="3640" w:type="dxa"/>
            <w:noWrap/>
            <w:vAlign w:val="bottom"/>
            <w:hideMark/>
          </w:tcPr>
          <w:p w:rsidR="0066472D" w:rsidRPr="001269BB" w:rsidRDefault="0066472D" w:rsidP="0066472D">
            <w:pPr>
              <w:rPr>
                <w:rFonts w:eastAsia="Times New Roman" w:cs="Arial"/>
                <w:szCs w:val="20"/>
                <w:lang w:val="de-CH" w:eastAsia="de-DE"/>
              </w:rPr>
            </w:pPr>
            <w:r w:rsidRPr="001269BB">
              <w:rPr>
                <w:rFonts w:eastAsia="Times New Roman" w:cs="Arial"/>
                <w:szCs w:val="20"/>
                <w:lang w:val="de-CH" w:eastAsia="de-DE"/>
              </w:rPr>
              <w:t>+41 44 817 99 45</w:t>
            </w:r>
          </w:p>
        </w:tc>
      </w:tr>
    </w:tbl>
    <w:p w:rsidR="0066472D" w:rsidRPr="001269BB" w:rsidRDefault="0066472D" w:rsidP="0066472D">
      <w:pPr>
        <w:rPr>
          <w:lang w:val="de-CH"/>
        </w:rPr>
      </w:pPr>
    </w:p>
    <w:p w:rsidR="0066472D" w:rsidRPr="001269BB" w:rsidRDefault="0066472D" w:rsidP="0066472D">
      <w:pPr>
        <w:rPr>
          <w:rFonts w:cs="Arial"/>
          <w:b/>
          <w:szCs w:val="20"/>
          <w:lang w:val="de-CH"/>
        </w:rPr>
      </w:pPr>
    </w:p>
    <w:p w:rsidR="0066472D" w:rsidRPr="001269BB" w:rsidRDefault="0066472D" w:rsidP="0066472D">
      <w:pPr>
        <w:rPr>
          <w:rFonts w:cs="Arial"/>
          <w:b/>
          <w:szCs w:val="20"/>
          <w:lang w:val="de-CH"/>
        </w:rPr>
      </w:pPr>
      <w:r w:rsidRPr="001269BB">
        <w:rPr>
          <w:rFonts w:cs="Arial"/>
          <w:b/>
          <w:szCs w:val="20"/>
          <w:lang w:val="de-CH"/>
        </w:rPr>
        <w:t>Fronius International GmbH (Deutschland &amp; Österreich)</w:t>
      </w:r>
    </w:p>
    <w:p w:rsidR="0066472D" w:rsidRPr="001269BB" w:rsidRDefault="0066472D" w:rsidP="0066472D">
      <w:pPr>
        <w:rPr>
          <w:rFonts w:cs="Arial"/>
          <w:szCs w:val="20"/>
          <w:lang w:val="de-CH"/>
        </w:rPr>
      </w:pPr>
      <w:r w:rsidRPr="001269BB">
        <w:rPr>
          <w:rFonts w:cs="Arial"/>
          <w:szCs w:val="20"/>
          <w:lang w:val="de-CH"/>
        </w:rPr>
        <w:t xml:space="preserve">Rückfragehinweis: Boris Ringwald, +43 664 60241 6436, </w:t>
      </w:r>
      <w:hyperlink r:id="rId21" w:history="1">
        <w:r w:rsidRPr="001269BB">
          <w:rPr>
            <w:rStyle w:val="Hyperlink"/>
            <w:rFonts w:cs="Arial"/>
            <w:szCs w:val="20"/>
            <w:lang w:val="de-CH"/>
          </w:rPr>
          <w:t>ringwald.boris@fronius.com</w:t>
        </w:r>
      </w:hyperlink>
    </w:p>
    <w:p w:rsidR="0066472D" w:rsidRPr="001269BB" w:rsidRDefault="0066472D" w:rsidP="0066472D">
      <w:pPr>
        <w:rPr>
          <w:rFonts w:cs="Arial"/>
          <w:szCs w:val="20"/>
          <w:lang w:val="de-CH"/>
        </w:rPr>
      </w:pPr>
    </w:p>
    <w:p w:rsidR="0066472D" w:rsidRPr="001269BB" w:rsidRDefault="0066472D" w:rsidP="0066472D">
      <w:pPr>
        <w:rPr>
          <w:rFonts w:cs="Arial"/>
          <w:b/>
          <w:szCs w:val="20"/>
          <w:lang w:val="de-CH"/>
        </w:rPr>
      </w:pPr>
      <w:r w:rsidRPr="001269BB">
        <w:rPr>
          <w:rFonts w:cs="Arial"/>
          <w:b/>
          <w:szCs w:val="20"/>
          <w:lang w:val="de-CH"/>
        </w:rPr>
        <w:t>Fronius Schweiz AG</w:t>
      </w:r>
    </w:p>
    <w:p w:rsidR="0066472D" w:rsidRPr="001269BB" w:rsidRDefault="0066472D" w:rsidP="0066472D">
      <w:pPr>
        <w:rPr>
          <w:rFonts w:cs="Arial"/>
          <w:szCs w:val="20"/>
          <w:lang w:val="de-CH"/>
        </w:rPr>
      </w:pPr>
      <w:r w:rsidRPr="001269BB">
        <w:rPr>
          <w:rFonts w:cs="Arial"/>
          <w:szCs w:val="20"/>
          <w:lang w:val="de-CH"/>
        </w:rPr>
        <w:t xml:space="preserve">Rückfragehinweis: Monique Inderbitzin, +41 79 945 76 20, </w:t>
      </w:r>
      <w:hyperlink r:id="rId22" w:history="1">
        <w:r w:rsidRPr="001269BB">
          <w:rPr>
            <w:rStyle w:val="Hyperlink"/>
            <w:rFonts w:cs="Arial"/>
            <w:szCs w:val="20"/>
            <w:lang w:val="de-CH"/>
          </w:rPr>
          <w:t>inderbitzin.monique@fronius.com</w:t>
        </w:r>
      </w:hyperlink>
    </w:p>
    <w:p w:rsidR="0066472D" w:rsidRPr="001269BB" w:rsidRDefault="0066472D" w:rsidP="0066472D">
      <w:pPr>
        <w:rPr>
          <w:rFonts w:cs="Arial"/>
          <w:szCs w:val="20"/>
          <w:lang w:val="de-CH"/>
        </w:rPr>
      </w:pPr>
    </w:p>
    <w:p w:rsidR="005F40B8" w:rsidRPr="001269BB" w:rsidRDefault="005F40B8" w:rsidP="005F40B8">
      <w:pPr>
        <w:rPr>
          <w:rFonts w:cs="Arial"/>
          <w:b/>
          <w:szCs w:val="20"/>
          <w:lang w:val="de-CH"/>
        </w:rPr>
      </w:pPr>
      <w:r w:rsidRPr="001269BB">
        <w:rPr>
          <w:rFonts w:cs="Arial"/>
          <w:b/>
          <w:szCs w:val="20"/>
          <w:lang w:val="de-CH" w:eastAsia="en-GB"/>
        </w:rPr>
        <w:t>a1kommunikation Schweizer GmbH</w:t>
      </w:r>
    </w:p>
    <w:p w:rsidR="005F40B8" w:rsidRPr="001269BB" w:rsidRDefault="005F40B8" w:rsidP="005F40B8">
      <w:pPr>
        <w:rPr>
          <w:rFonts w:cs="Arial"/>
          <w:szCs w:val="20"/>
          <w:lang w:val="de-CH"/>
        </w:rPr>
      </w:pPr>
      <w:r w:rsidRPr="001269BB">
        <w:rPr>
          <w:rFonts w:cs="Arial"/>
          <w:szCs w:val="20"/>
          <w:lang w:val="de-CH"/>
        </w:rPr>
        <w:t xml:space="preserve">Rückfragehinweis: Frau Kirsten Ludwig, +49 711 945416120, </w:t>
      </w:r>
      <w:hyperlink r:id="rId23" w:history="1">
        <w:r w:rsidRPr="001269BB">
          <w:rPr>
            <w:rStyle w:val="Hyperlink"/>
            <w:rFonts w:cs="Arial"/>
            <w:szCs w:val="20"/>
            <w:lang w:val="de-CH"/>
          </w:rPr>
          <w:t>kirsten.ludwig@a1kommunikation.de</w:t>
        </w:r>
      </w:hyperlink>
    </w:p>
    <w:p w:rsidR="005F40B8" w:rsidRPr="001269BB" w:rsidRDefault="00FC0653" w:rsidP="005F40B8">
      <w:pPr>
        <w:rPr>
          <w:lang w:val="de-CH"/>
        </w:rPr>
      </w:pPr>
      <w:r w:rsidRPr="001269BB">
        <w:rPr>
          <w:rFonts w:cs="Arial"/>
          <w:szCs w:val="20"/>
          <w:lang w:val="de-CH"/>
        </w:rPr>
        <w:t xml:space="preserve">Bitte schicken Sie ein </w:t>
      </w:r>
      <w:r w:rsidR="005F40B8" w:rsidRPr="001269BB">
        <w:rPr>
          <w:rFonts w:cs="Arial"/>
          <w:szCs w:val="20"/>
          <w:lang w:val="de-CH"/>
        </w:rPr>
        <w:t>Belegexemplar</w:t>
      </w:r>
      <w:r w:rsidRPr="001269BB">
        <w:rPr>
          <w:rFonts w:cs="Arial"/>
          <w:szCs w:val="20"/>
          <w:lang w:val="de-CH"/>
        </w:rPr>
        <w:t xml:space="preserve"> an</w:t>
      </w:r>
      <w:r w:rsidR="005F40B8" w:rsidRPr="001269BB">
        <w:rPr>
          <w:rFonts w:cs="Arial"/>
          <w:szCs w:val="20"/>
          <w:lang w:val="de-CH"/>
        </w:rPr>
        <w:t>: Frau Kirsten Ludwig, Oberdorfstr. 31a, 70794 Filderstadt, Germany</w:t>
      </w:r>
    </w:p>
    <w:p w:rsidR="0066472D" w:rsidRPr="001269BB" w:rsidRDefault="0066472D" w:rsidP="005F40B8">
      <w:pPr>
        <w:rPr>
          <w:lang w:val="de-CH"/>
        </w:rPr>
      </w:pPr>
    </w:p>
    <w:sectPr w:rsidR="0066472D" w:rsidRPr="001269BB" w:rsidSect="000875B1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88" w:rsidRDefault="000B4B88" w:rsidP="000875B1">
      <w:r>
        <w:separator/>
      </w:r>
    </w:p>
  </w:endnote>
  <w:endnote w:type="continuationSeparator" w:id="0">
    <w:p w:rsidR="000B4B88" w:rsidRDefault="000B4B88" w:rsidP="000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CA" w:rsidRDefault="00B048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Pr="00E533E1" w:rsidRDefault="00B048CA" w:rsidP="000875B1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03</w:t>
    </w:r>
    <w:r w:rsidR="00857D8C">
      <w:rPr>
        <w:sz w:val="12"/>
        <w:szCs w:val="12"/>
        <w:lang w:val="de-DE"/>
      </w:rPr>
      <w:t>/201</w:t>
    </w:r>
    <w:r w:rsidR="003F165F">
      <w:rPr>
        <w:sz w:val="12"/>
        <w:szCs w:val="12"/>
        <w:lang w:val="de-DE"/>
      </w:rPr>
      <w:t>8</w:t>
    </w:r>
    <w:r w:rsidR="00BE5CED" w:rsidRPr="00E533E1">
      <w:rPr>
        <w:sz w:val="16"/>
        <w:szCs w:val="16"/>
        <w:lang w:val="de-DE"/>
      </w:rPr>
      <w:tab/>
    </w:r>
    <w:r w:rsidR="00664AB1" w:rsidRPr="00E533E1">
      <w:rPr>
        <w:sz w:val="16"/>
        <w:szCs w:val="16"/>
      </w:rPr>
      <w:fldChar w:fldCharType="begin"/>
    </w:r>
    <w:r w:rsidR="00BE5CED" w:rsidRPr="00E533E1">
      <w:rPr>
        <w:sz w:val="16"/>
        <w:szCs w:val="16"/>
      </w:rPr>
      <w:instrText xml:space="preserve"> </w:instrText>
    </w:r>
    <w:r w:rsidR="00BE5CED">
      <w:rPr>
        <w:sz w:val="16"/>
        <w:szCs w:val="16"/>
      </w:rPr>
      <w:instrText>PAGE</w:instrText>
    </w:r>
    <w:r w:rsidR="00BE5CED" w:rsidRPr="00E533E1">
      <w:rPr>
        <w:sz w:val="16"/>
        <w:szCs w:val="16"/>
      </w:rPr>
      <w:instrText xml:space="preserve"> </w:instrText>
    </w:r>
    <w:r w:rsidR="00664AB1" w:rsidRPr="00E533E1">
      <w:rPr>
        <w:sz w:val="16"/>
        <w:szCs w:val="16"/>
      </w:rPr>
      <w:fldChar w:fldCharType="separate"/>
    </w:r>
    <w:r w:rsidR="00E17344">
      <w:rPr>
        <w:noProof/>
        <w:sz w:val="16"/>
        <w:szCs w:val="16"/>
      </w:rPr>
      <w:t>2</w:t>
    </w:r>
    <w:r w:rsidR="00664AB1" w:rsidRPr="00E533E1">
      <w:rPr>
        <w:sz w:val="16"/>
        <w:szCs w:val="16"/>
      </w:rPr>
      <w:fldChar w:fldCharType="end"/>
    </w:r>
    <w:r w:rsidR="00BE5CED" w:rsidRPr="00E533E1">
      <w:rPr>
        <w:sz w:val="16"/>
        <w:szCs w:val="16"/>
      </w:rPr>
      <w:t>/</w:t>
    </w:r>
    <w:r w:rsidR="00664AB1" w:rsidRPr="00E533E1">
      <w:rPr>
        <w:sz w:val="16"/>
        <w:szCs w:val="16"/>
      </w:rPr>
      <w:fldChar w:fldCharType="begin"/>
    </w:r>
    <w:r w:rsidR="00BE5CED" w:rsidRPr="00E533E1">
      <w:rPr>
        <w:sz w:val="16"/>
        <w:szCs w:val="16"/>
      </w:rPr>
      <w:instrText xml:space="preserve"> </w:instrText>
    </w:r>
    <w:r w:rsidR="00BE5CED">
      <w:rPr>
        <w:sz w:val="16"/>
        <w:szCs w:val="16"/>
      </w:rPr>
      <w:instrText>NUMPAGES</w:instrText>
    </w:r>
    <w:r w:rsidR="00BE5CED" w:rsidRPr="00E533E1">
      <w:rPr>
        <w:sz w:val="16"/>
        <w:szCs w:val="16"/>
      </w:rPr>
      <w:instrText xml:space="preserve"> </w:instrText>
    </w:r>
    <w:r w:rsidR="00664AB1" w:rsidRPr="00E533E1">
      <w:rPr>
        <w:sz w:val="16"/>
        <w:szCs w:val="16"/>
      </w:rPr>
      <w:fldChar w:fldCharType="separate"/>
    </w:r>
    <w:r w:rsidR="00E17344">
      <w:rPr>
        <w:noProof/>
        <w:sz w:val="16"/>
        <w:szCs w:val="16"/>
      </w:rPr>
      <w:t>4</w:t>
    </w:r>
    <w:r w:rsidR="00664AB1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CA" w:rsidRDefault="00B048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88" w:rsidRDefault="000B4B88" w:rsidP="000875B1">
      <w:r>
        <w:separator/>
      </w:r>
    </w:p>
  </w:footnote>
  <w:footnote w:type="continuationSeparator" w:id="0">
    <w:p w:rsidR="000B4B88" w:rsidRDefault="000B4B88" w:rsidP="0008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0B4B88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8752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752C03"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8890</wp:posOffset>
          </wp:positionV>
          <wp:extent cx="7560000" cy="106920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0B4B88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1"/>
    <w:rsid w:val="000514FA"/>
    <w:rsid w:val="000B4B88"/>
    <w:rsid w:val="000B5EAD"/>
    <w:rsid w:val="000C62AB"/>
    <w:rsid w:val="000E54F9"/>
    <w:rsid w:val="001269BB"/>
    <w:rsid w:val="0013286D"/>
    <w:rsid w:val="00175D23"/>
    <w:rsid w:val="001943AB"/>
    <w:rsid w:val="002403C2"/>
    <w:rsid w:val="00285B3B"/>
    <w:rsid w:val="002A4001"/>
    <w:rsid w:val="002A4A5C"/>
    <w:rsid w:val="002C319F"/>
    <w:rsid w:val="002E037F"/>
    <w:rsid w:val="002F182C"/>
    <w:rsid w:val="00322503"/>
    <w:rsid w:val="00333F7E"/>
    <w:rsid w:val="0033778F"/>
    <w:rsid w:val="00353242"/>
    <w:rsid w:val="00361BEE"/>
    <w:rsid w:val="00380AB7"/>
    <w:rsid w:val="003F165F"/>
    <w:rsid w:val="004C387E"/>
    <w:rsid w:val="004D1A5C"/>
    <w:rsid w:val="00504E2D"/>
    <w:rsid w:val="005557B1"/>
    <w:rsid w:val="00557A9A"/>
    <w:rsid w:val="005611EA"/>
    <w:rsid w:val="005B22AA"/>
    <w:rsid w:val="005D07DC"/>
    <w:rsid w:val="005D34FD"/>
    <w:rsid w:val="005D7A0E"/>
    <w:rsid w:val="005F40B8"/>
    <w:rsid w:val="00637B3B"/>
    <w:rsid w:val="006570A9"/>
    <w:rsid w:val="0066472D"/>
    <w:rsid w:val="00664AB1"/>
    <w:rsid w:val="006822E0"/>
    <w:rsid w:val="00682D47"/>
    <w:rsid w:val="006D4E3E"/>
    <w:rsid w:val="006F4AF7"/>
    <w:rsid w:val="006F4ECA"/>
    <w:rsid w:val="007432DB"/>
    <w:rsid w:val="00752C03"/>
    <w:rsid w:val="007E4A9A"/>
    <w:rsid w:val="00825A50"/>
    <w:rsid w:val="00845CC8"/>
    <w:rsid w:val="008527B9"/>
    <w:rsid w:val="00857D8C"/>
    <w:rsid w:val="008E1ED5"/>
    <w:rsid w:val="00906DA0"/>
    <w:rsid w:val="009341B0"/>
    <w:rsid w:val="0097397F"/>
    <w:rsid w:val="00977C28"/>
    <w:rsid w:val="009D799A"/>
    <w:rsid w:val="009E3FB9"/>
    <w:rsid w:val="00A3789E"/>
    <w:rsid w:val="00A62A2C"/>
    <w:rsid w:val="00AA2538"/>
    <w:rsid w:val="00AE4663"/>
    <w:rsid w:val="00B048CA"/>
    <w:rsid w:val="00B3059C"/>
    <w:rsid w:val="00B56B47"/>
    <w:rsid w:val="00B83A25"/>
    <w:rsid w:val="00BA3BA5"/>
    <w:rsid w:val="00BD3229"/>
    <w:rsid w:val="00BE157D"/>
    <w:rsid w:val="00BE5CED"/>
    <w:rsid w:val="00C75936"/>
    <w:rsid w:val="00C868CA"/>
    <w:rsid w:val="00C8722B"/>
    <w:rsid w:val="00C96A5A"/>
    <w:rsid w:val="00CA122B"/>
    <w:rsid w:val="00CD1AF6"/>
    <w:rsid w:val="00CE5CCC"/>
    <w:rsid w:val="00CF0118"/>
    <w:rsid w:val="00D0576C"/>
    <w:rsid w:val="00D33855"/>
    <w:rsid w:val="00D4755E"/>
    <w:rsid w:val="00D52E16"/>
    <w:rsid w:val="00D9609D"/>
    <w:rsid w:val="00DA5992"/>
    <w:rsid w:val="00DE1290"/>
    <w:rsid w:val="00E02131"/>
    <w:rsid w:val="00E17344"/>
    <w:rsid w:val="00EB4DBA"/>
    <w:rsid w:val="00ED2368"/>
    <w:rsid w:val="00EF408C"/>
    <w:rsid w:val="00F335ED"/>
    <w:rsid w:val="00F96BF2"/>
    <w:rsid w:val="00FA62FB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47FA56EA-2EBD-4BB2-9A28-F409B8E0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1B3"/>
    <w:rPr>
      <w:rFonts w:ascii="Arial" w:hAnsi="Arial"/>
      <w:szCs w:val="24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  <w:lang w:val="de-DE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basedOn w:val="Absatz-Standardschriftart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berschrift2Zchn">
    <w:name w:val="Überschrift 2 Zchn"/>
    <w:basedOn w:val="Absatz-Standardschriftart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Fett">
    <w:name w:val="Strong"/>
    <w:basedOn w:val="Absatz-Standardschriftart"/>
    <w:qFormat/>
    <w:rsid w:val="00AF7A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A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A5C"/>
    <w:rPr>
      <w:rFonts w:ascii="Tahoma" w:hAnsi="Tahoma" w:cs="Tahoma"/>
      <w:sz w:val="16"/>
      <w:szCs w:val="16"/>
      <w:lang w:val="en-US" w:eastAsia="zh-TW"/>
    </w:rPr>
  </w:style>
  <w:style w:type="character" w:styleId="Hyperlink">
    <w:name w:val="Hyperlink"/>
    <w:basedOn w:val="Absatz-Standardschriftart"/>
    <w:uiPriority w:val="99"/>
    <w:unhideWhenUsed/>
    <w:rsid w:val="0066472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8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89E"/>
    <w:rPr>
      <w:rFonts w:ascii="Arial" w:hAnsi="Arial"/>
      <w:lang w:val="en-US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89E"/>
    <w:rPr>
      <w:rFonts w:ascii="Arial" w:hAnsi="Arial"/>
      <w:b/>
      <w:bCs/>
      <w:lang w:val="en-US" w:eastAsia="zh-TW"/>
    </w:rPr>
  </w:style>
  <w:style w:type="paragraph" w:styleId="berarbeitung">
    <w:name w:val="Revision"/>
    <w:hidden/>
    <w:uiPriority w:val="99"/>
    <w:semiHidden/>
    <w:rsid w:val="00A3789E"/>
    <w:rPr>
      <w:rFonts w:ascii="Arial" w:hAnsi="Arial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hyperlink" Target="mailto:perfect.charging@froniu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ngwald.boris@froniu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youtube.com/FroniusCharg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kirsten.ludwig@a1kommunikation.d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fronius.com/intralogisti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mailto:inderbitzin.monique@froni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%20press%20templates\DE_press-standard_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DE_press-standard_template.dotm</Template>
  <TotalTime>0</TotalTime>
  <Pages>4</Pages>
  <Words>924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Fronius International</Company>
  <LinksUpToDate>false</LinksUpToDate>
  <CharactersWithSpaces>6734</CharactersWithSpaces>
  <SharedDoc>false</SharedDoc>
  <HLinks>
    <vt:vector size="30" baseType="variant">
      <vt:variant>
        <vt:i4>1572919</vt:i4>
      </vt:variant>
      <vt:variant>
        <vt:i4>4742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4992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2052</vt:i4>
      </vt:variant>
      <vt:variant>
        <vt:i4>1</vt:i4>
      </vt:variant>
      <vt:variant>
        <vt:lpwstr>EN_HG_weiß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 Reiser</dc:creator>
  <cp:lastModifiedBy>Inderbitzin Monique</cp:lastModifiedBy>
  <cp:revision>2</cp:revision>
  <cp:lastPrinted>2009-04-22T19:24:00Z</cp:lastPrinted>
  <dcterms:created xsi:type="dcterms:W3CDTF">2018-03-21T19:38:00Z</dcterms:created>
  <dcterms:modified xsi:type="dcterms:W3CDTF">2018-03-21T19:38:00Z</dcterms:modified>
</cp:coreProperties>
</file>